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B3FD" w14:textId="77777777" w:rsidR="001A1398" w:rsidRPr="0021432C" w:rsidRDefault="001A1398" w:rsidP="001A1398">
      <w:pPr>
        <w:rPr>
          <w:sz w:val="28"/>
          <w:szCs w:val="28"/>
        </w:rPr>
      </w:pPr>
      <w:r>
        <w:rPr>
          <w:noProof/>
          <w:color w:val="833C0B" w:themeColor="accent2" w:themeShade="80"/>
          <w:sz w:val="28"/>
        </w:rPr>
        <w:drawing>
          <wp:anchor distT="0" distB="0" distL="114300" distR="114300" simplePos="0" relativeHeight="251658240" behindDoc="0" locked="0" layoutInCell="1" allowOverlap="1" wp14:anchorId="3F73A0E0" wp14:editId="51EF7629">
            <wp:simplePos x="0" y="0"/>
            <wp:positionH relativeFrom="margin">
              <wp:align>center</wp:align>
            </wp:positionH>
            <wp:positionV relativeFrom="paragraph">
              <wp:posOffset>-423545</wp:posOffset>
            </wp:positionV>
            <wp:extent cx="1968500" cy="1174750"/>
            <wp:effectExtent l="0" t="0" r="0" b="6350"/>
            <wp:wrapNone/>
            <wp:docPr id="1" name="Picture 1" descr="pa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l"/>
                    <pic:cNvPicPr>
                      <a:picLocks noChangeAspect="1" noChangeArrowheads="1"/>
                    </pic:cNvPicPr>
                  </pic:nvPicPr>
                  <pic:blipFill>
                    <a:blip r:embed="rId8">
                      <a:extLst>
                        <a:ext uri="{28A0092B-C50C-407E-A947-70E740481C1C}">
                          <a14:useLocalDpi xmlns:a14="http://schemas.microsoft.com/office/drawing/2010/main" val="0"/>
                        </a:ext>
                      </a:extLst>
                    </a:blip>
                    <a:srcRect b="9879"/>
                    <a:stretch>
                      <a:fillRect/>
                    </a:stretch>
                  </pic:blipFill>
                  <pic:spPr bwMode="auto">
                    <a:xfrm>
                      <a:off x="0" y="0"/>
                      <a:ext cx="1968500" cy="117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1B6BD" w14:textId="77777777" w:rsidR="001A1398" w:rsidRDefault="001A1398" w:rsidP="001A1398"/>
    <w:p w14:paraId="6E6C7BF3" w14:textId="77777777" w:rsidR="001A1398" w:rsidRDefault="001A1398" w:rsidP="001A1398">
      <w:pPr>
        <w:jc w:val="center"/>
        <w:rPr>
          <w:color w:val="833C0B" w:themeColor="accent2" w:themeShade="80"/>
          <w:sz w:val="28"/>
          <w:szCs w:val="28"/>
        </w:rPr>
      </w:pPr>
    </w:p>
    <w:p w14:paraId="52DC0CE4" w14:textId="77777777" w:rsidR="001A1398" w:rsidRDefault="001A1398" w:rsidP="001A1398">
      <w:pPr>
        <w:jc w:val="center"/>
        <w:rPr>
          <w:color w:val="833C0B" w:themeColor="accent2" w:themeShade="80"/>
          <w:sz w:val="28"/>
          <w:szCs w:val="28"/>
        </w:rPr>
      </w:pPr>
    </w:p>
    <w:p w14:paraId="5EE76B28" w14:textId="3AB2E05D" w:rsidR="001A1398" w:rsidRPr="00AC776F" w:rsidRDefault="001A1398" w:rsidP="00265357">
      <w:pPr>
        <w:ind w:right="21"/>
        <w:jc w:val="center"/>
        <w:rPr>
          <w:color w:val="1F3864" w:themeColor="accent5" w:themeShade="80"/>
          <w:sz w:val="26"/>
          <w:szCs w:val="26"/>
        </w:rPr>
      </w:pPr>
      <w:r>
        <w:rPr>
          <w:color w:val="1F3864" w:themeColor="accent5" w:themeShade="80"/>
          <w:sz w:val="26"/>
        </w:rPr>
        <w:t>KUVENDI I REPUBLIKËS SË MAQEDONISË SË VERIUT</w:t>
      </w:r>
    </w:p>
    <w:p w14:paraId="6F06BFAF" w14:textId="77777777" w:rsidR="001A1398" w:rsidRPr="007D1DAF" w:rsidRDefault="001A1398" w:rsidP="00265357">
      <w:pPr>
        <w:ind w:right="21"/>
        <w:jc w:val="center"/>
        <w:rPr>
          <w:color w:val="1F3864" w:themeColor="accent5" w:themeShade="80"/>
          <w:sz w:val="26"/>
          <w:szCs w:val="26"/>
        </w:rPr>
      </w:pPr>
      <w:r>
        <w:rPr>
          <w:color w:val="1F3864" w:themeColor="accent5" w:themeShade="80"/>
          <w:sz w:val="26"/>
        </w:rPr>
        <w:t>INSTITUTI PARLAMENTAR</w:t>
      </w:r>
    </w:p>
    <w:p w14:paraId="70F49AD3" w14:textId="77777777" w:rsidR="00771387" w:rsidRDefault="00007D67" w:rsidP="00265357">
      <w:pPr>
        <w:spacing w:before="240"/>
        <w:ind w:right="21"/>
        <w:jc w:val="center"/>
        <w:rPr>
          <w:rFonts w:ascii="Arial" w:hAnsi="Arial" w:cs="Arial"/>
          <w:b/>
          <w:sz w:val="22"/>
          <w:szCs w:val="22"/>
        </w:rPr>
      </w:pPr>
      <w:r>
        <w:rPr>
          <w:noProof/>
          <w:color w:val="1F3864" w:themeColor="accent5" w:themeShade="80"/>
        </w:rPr>
        <mc:AlternateContent>
          <mc:Choice Requires="wps">
            <w:drawing>
              <wp:anchor distT="0" distB="0" distL="114300" distR="114300" simplePos="0" relativeHeight="251660288" behindDoc="0" locked="0" layoutInCell="1" allowOverlap="1" wp14:anchorId="6A94D2FE" wp14:editId="6A6F3AC7">
                <wp:simplePos x="0" y="0"/>
                <wp:positionH relativeFrom="margin">
                  <wp:posOffset>175260</wp:posOffset>
                </wp:positionH>
                <wp:positionV relativeFrom="paragraph">
                  <wp:posOffset>55245</wp:posOffset>
                </wp:positionV>
                <wp:extent cx="4114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3DEF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4.35pt" to="337.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" strokecolor="#2f5496 [2408]" strokeweight=".5pt">
                <v:stroke joinstyle="miter"/>
                <w10:wrap anchorx="margin"/>
              </v:line>
            </w:pict>
          </mc:Fallback>
        </mc:AlternateContent>
      </w:r>
    </w:p>
    <w:p w14:paraId="0C2F4EF8" w14:textId="77777777" w:rsidR="00191D22" w:rsidRDefault="00191D22" w:rsidP="00265357">
      <w:pPr>
        <w:spacing w:before="240"/>
        <w:ind w:right="21"/>
        <w:jc w:val="center"/>
        <w:rPr>
          <w:rFonts w:ascii="Arial" w:hAnsi="Arial" w:cs="Arial"/>
          <w:b/>
          <w:sz w:val="22"/>
          <w:szCs w:val="22"/>
        </w:rPr>
      </w:pPr>
    </w:p>
    <w:p w14:paraId="45F7AEE9" w14:textId="457DD2CF" w:rsidR="00DA204A" w:rsidRPr="004D03C0" w:rsidRDefault="003634E8" w:rsidP="00265357">
      <w:pPr>
        <w:spacing w:before="240"/>
        <w:ind w:right="21"/>
        <w:jc w:val="center"/>
        <w:rPr>
          <w:rFonts w:ascii="Arial" w:hAnsi="Arial" w:cs="Arial"/>
          <w:i/>
          <w:sz w:val="22"/>
          <w:szCs w:val="22"/>
        </w:rPr>
      </w:pPr>
      <w:r>
        <w:rPr>
          <w:rFonts w:ascii="Arial" w:hAnsi="Arial"/>
          <w:i/>
          <w:sz w:val="22"/>
        </w:rPr>
        <w:t>Seminar me temë:</w:t>
      </w:r>
    </w:p>
    <w:p w14:paraId="49FDE80D" w14:textId="66947436" w:rsidR="00DA204A" w:rsidRPr="002F16F6" w:rsidRDefault="009165F4" w:rsidP="00265357">
      <w:pPr>
        <w:spacing w:before="240" w:after="240"/>
        <w:ind w:right="21"/>
        <w:jc w:val="center"/>
        <w:rPr>
          <w:rFonts w:ascii="Arial" w:hAnsi="Arial" w:cs="Arial"/>
          <w:b/>
          <w:sz w:val="32"/>
          <w:szCs w:val="32"/>
        </w:rPr>
      </w:pPr>
      <w:r>
        <w:rPr>
          <w:rFonts w:ascii="Arial" w:hAnsi="Arial"/>
          <w:b/>
        </w:rPr>
        <w:t>PARLAMENTI (KUVENDI) SI INSTITUCION THEMELOR I TË DREJTËS PARLAMENTARE</w:t>
      </w:r>
    </w:p>
    <w:p w14:paraId="4CB2EE24" w14:textId="01809D95" w:rsidR="00771387" w:rsidRPr="00AC776F" w:rsidRDefault="009165F4" w:rsidP="00733C03">
      <w:pPr>
        <w:spacing w:before="240"/>
        <w:ind w:right="21"/>
        <w:jc w:val="center"/>
        <w:rPr>
          <w:rFonts w:ascii="Arial" w:hAnsi="Arial" w:cs="Arial"/>
          <w:i/>
          <w:sz w:val="22"/>
          <w:szCs w:val="22"/>
        </w:rPr>
      </w:pPr>
      <w:r>
        <w:rPr>
          <w:rFonts w:ascii="Arial" w:hAnsi="Arial"/>
          <w:i/>
          <w:sz w:val="22"/>
        </w:rPr>
        <w:t>për studentët e universiteteve në Republikën e Maqedonisë së Veriut</w:t>
      </w:r>
    </w:p>
    <w:p w14:paraId="2817E4AA" w14:textId="77777777" w:rsidR="001F07DF" w:rsidRDefault="000E4DDB" w:rsidP="00265357">
      <w:pPr>
        <w:spacing w:before="120"/>
        <w:ind w:right="21"/>
        <w:jc w:val="center"/>
        <w:rPr>
          <w:rFonts w:ascii="Arial" w:hAnsi="Arial" w:cs="Arial"/>
          <w:sz w:val="22"/>
          <w:szCs w:val="22"/>
          <w:u w:val="single"/>
        </w:rPr>
      </w:pPr>
      <w:r>
        <w:rPr>
          <w:rFonts w:ascii="Arial" w:hAnsi="Arial"/>
          <w:sz w:val="22"/>
          <w:u w:val="single"/>
        </w:rPr>
        <w:t xml:space="preserve"> </w:t>
      </w:r>
    </w:p>
    <w:p w14:paraId="0766BD2A" w14:textId="70742BC4" w:rsidR="006E2E49" w:rsidRPr="00304267" w:rsidRDefault="001A43A0" w:rsidP="00265357">
      <w:pPr>
        <w:spacing w:before="120"/>
        <w:ind w:right="21"/>
        <w:jc w:val="center"/>
        <w:rPr>
          <w:rFonts w:ascii="Arial" w:hAnsi="Arial" w:cs="Arial"/>
          <w:sz w:val="22"/>
          <w:szCs w:val="22"/>
          <w:u w:val="single"/>
        </w:rPr>
      </w:pPr>
      <w:r>
        <w:rPr>
          <w:rFonts w:ascii="Arial" w:hAnsi="Arial"/>
          <w:sz w:val="22"/>
          <w:u w:val="single"/>
        </w:rPr>
        <w:t>për vitin shkollor 2022-23</w:t>
      </w:r>
    </w:p>
    <w:p w14:paraId="6DA0985B" w14:textId="77777777" w:rsidR="002F16F6" w:rsidRDefault="002F16F6" w:rsidP="001B3D77">
      <w:pPr>
        <w:ind w:left="-540"/>
        <w:jc w:val="center"/>
        <w:rPr>
          <w:rFonts w:ascii="Arial" w:hAnsi="Arial" w:cs="Arial"/>
          <w:b/>
          <w:sz w:val="22"/>
          <w:szCs w:val="22"/>
          <w:u w:val="single"/>
        </w:rPr>
      </w:pPr>
    </w:p>
    <w:p w14:paraId="2CE00133" w14:textId="7EF4BEEC" w:rsidR="00FA2A14" w:rsidRDefault="00FA2A14" w:rsidP="001B3D77">
      <w:pPr>
        <w:ind w:left="-540"/>
        <w:jc w:val="center"/>
        <w:rPr>
          <w:rFonts w:ascii="Arial" w:hAnsi="Arial" w:cs="Arial"/>
          <w:b/>
          <w:sz w:val="22"/>
          <w:szCs w:val="22"/>
          <w:u w:val="single"/>
        </w:rPr>
      </w:pPr>
    </w:p>
    <w:p w14:paraId="0E4D5734" w14:textId="481715EB" w:rsidR="00191D22" w:rsidRDefault="00191D22" w:rsidP="001B3D77">
      <w:pPr>
        <w:ind w:left="-540"/>
        <w:jc w:val="center"/>
        <w:rPr>
          <w:rFonts w:ascii="Arial" w:hAnsi="Arial" w:cs="Arial"/>
          <w:b/>
          <w:sz w:val="22"/>
          <w:szCs w:val="22"/>
          <w:u w:val="single"/>
        </w:rPr>
      </w:pPr>
    </w:p>
    <w:p w14:paraId="38B0C2C5" w14:textId="702CD6B5" w:rsidR="00191D22" w:rsidRDefault="00191D22" w:rsidP="001B3D77">
      <w:pPr>
        <w:ind w:left="-540"/>
        <w:jc w:val="center"/>
        <w:rPr>
          <w:rFonts w:ascii="Arial" w:hAnsi="Arial" w:cs="Arial"/>
          <w:b/>
          <w:sz w:val="22"/>
          <w:szCs w:val="22"/>
          <w:u w:val="single"/>
        </w:rPr>
      </w:pPr>
    </w:p>
    <w:p w14:paraId="0335C11D" w14:textId="403E239E" w:rsidR="00191D22" w:rsidRDefault="00191D22" w:rsidP="001B3D77">
      <w:pPr>
        <w:ind w:left="-540"/>
        <w:jc w:val="center"/>
        <w:rPr>
          <w:rFonts w:ascii="Arial" w:hAnsi="Arial" w:cs="Arial"/>
          <w:b/>
          <w:sz w:val="22"/>
          <w:szCs w:val="22"/>
          <w:u w:val="single"/>
        </w:rPr>
      </w:pPr>
    </w:p>
    <w:p w14:paraId="37D17DC5" w14:textId="7AD2B4B2" w:rsidR="00191D22" w:rsidRDefault="00191D22" w:rsidP="001B3D77">
      <w:pPr>
        <w:ind w:left="-540"/>
        <w:jc w:val="center"/>
        <w:rPr>
          <w:rFonts w:ascii="Arial" w:hAnsi="Arial" w:cs="Arial"/>
          <w:b/>
          <w:sz w:val="22"/>
          <w:szCs w:val="22"/>
          <w:u w:val="single"/>
        </w:rPr>
      </w:pPr>
    </w:p>
    <w:p w14:paraId="006B1178" w14:textId="08A4CA27" w:rsidR="00191D22" w:rsidRDefault="00191D22" w:rsidP="001B3D77">
      <w:pPr>
        <w:ind w:left="-540"/>
        <w:jc w:val="center"/>
        <w:rPr>
          <w:rFonts w:ascii="Arial" w:hAnsi="Arial" w:cs="Arial"/>
          <w:b/>
          <w:sz w:val="22"/>
          <w:szCs w:val="22"/>
          <w:u w:val="single"/>
        </w:rPr>
      </w:pPr>
    </w:p>
    <w:p w14:paraId="34EBE45B" w14:textId="58A434A6" w:rsidR="003634E8" w:rsidRDefault="003634E8" w:rsidP="001B3D77">
      <w:pPr>
        <w:ind w:left="-540"/>
        <w:jc w:val="center"/>
        <w:rPr>
          <w:rFonts w:ascii="Arial" w:hAnsi="Arial" w:cs="Arial"/>
          <w:b/>
          <w:sz w:val="22"/>
          <w:szCs w:val="22"/>
          <w:u w:val="single"/>
        </w:rPr>
      </w:pPr>
    </w:p>
    <w:p w14:paraId="2E84A9FC" w14:textId="3279EEAE" w:rsidR="003634E8" w:rsidRDefault="003634E8" w:rsidP="001B3D77">
      <w:pPr>
        <w:ind w:left="-540"/>
        <w:jc w:val="center"/>
        <w:rPr>
          <w:rFonts w:ascii="Arial" w:hAnsi="Arial" w:cs="Arial"/>
          <w:b/>
          <w:sz w:val="22"/>
          <w:szCs w:val="22"/>
          <w:u w:val="single"/>
        </w:rPr>
      </w:pPr>
    </w:p>
    <w:p w14:paraId="0AC663A7" w14:textId="77E9BA5B" w:rsidR="003634E8" w:rsidRDefault="003634E8" w:rsidP="001B3D77">
      <w:pPr>
        <w:ind w:left="-540"/>
        <w:jc w:val="center"/>
        <w:rPr>
          <w:rFonts w:ascii="Arial" w:hAnsi="Arial" w:cs="Arial"/>
          <w:b/>
          <w:sz w:val="22"/>
          <w:szCs w:val="22"/>
          <w:u w:val="single"/>
        </w:rPr>
      </w:pPr>
    </w:p>
    <w:p w14:paraId="5C9F3A34" w14:textId="77777777" w:rsidR="003634E8" w:rsidRDefault="003634E8" w:rsidP="001B3D77">
      <w:pPr>
        <w:ind w:left="-540"/>
        <w:jc w:val="center"/>
        <w:rPr>
          <w:rFonts w:ascii="Arial" w:hAnsi="Arial" w:cs="Arial"/>
          <w:b/>
          <w:sz w:val="22"/>
          <w:szCs w:val="22"/>
          <w:u w:val="single"/>
        </w:rPr>
      </w:pPr>
    </w:p>
    <w:p w14:paraId="1330E02E" w14:textId="5514F6F3" w:rsidR="00191D22" w:rsidRDefault="00191D22" w:rsidP="001B3D77">
      <w:pPr>
        <w:ind w:left="-540"/>
        <w:jc w:val="center"/>
        <w:rPr>
          <w:rFonts w:ascii="Arial" w:hAnsi="Arial" w:cs="Arial"/>
          <w:b/>
          <w:sz w:val="22"/>
          <w:szCs w:val="22"/>
          <w:u w:val="single"/>
        </w:rPr>
      </w:pPr>
    </w:p>
    <w:p w14:paraId="2052AD3F" w14:textId="1ECD0755" w:rsidR="00191D22" w:rsidRDefault="00191D22" w:rsidP="001B3D77">
      <w:pPr>
        <w:ind w:left="-540"/>
        <w:jc w:val="center"/>
        <w:rPr>
          <w:rFonts w:ascii="Arial" w:hAnsi="Arial" w:cs="Arial"/>
          <w:b/>
          <w:sz w:val="22"/>
          <w:szCs w:val="22"/>
          <w:u w:val="single"/>
        </w:rPr>
      </w:pPr>
    </w:p>
    <w:p w14:paraId="3A9EF942" w14:textId="77777777" w:rsidR="00191D22" w:rsidRPr="00304267" w:rsidRDefault="00191D22" w:rsidP="001B3D77">
      <w:pPr>
        <w:ind w:left="-540"/>
        <w:jc w:val="center"/>
        <w:rPr>
          <w:rFonts w:ascii="Arial" w:hAnsi="Arial" w:cs="Arial"/>
          <w:b/>
          <w:sz w:val="22"/>
          <w:szCs w:val="22"/>
          <w:u w:val="single"/>
        </w:rPr>
      </w:pPr>
    </w:p>
    <w:p w14:paraId="71F51A4A" w14:textId="326C3E05" w:rsidR="003D7F22" w:rsidRDefault="006E2E49" w:rsidP="00191D22">
      <w:pPr>
        <w:spacing w:before="240"/>
        <w:ind w:right="21"/>
        <w:jc w:val="center"/>
        <w:rPr>
          <w:rFonts w:ascii="Arial" w:hAnsi="Arial" w:cs="Arial"/>
          <w:sz w:val="22"/>
          <w:szCs w:val="22"/>
        </w:rPr>
      </w:pPr>
      <w:r>
        <w:rPr>
          <w:rFonts w:ascii="Arial" w:hAnsi="Arial"/>
          <w:sz w:val="22"/>
        </w:rPr>
        <w:t>Përmbajtjet e seminarit janë zhvilluar dhe realizuar nga Njësia për Edukim dhe Komunikim e Institutit Parlamentar të Kuvendit të Republikës së Maqedonisë së Veriut</w:t>
      </w:r>
    </w:p>
    <w:p w14:paraId="5968081D" w14:textId="77777777" w:rsidR="00265357" w:rsidRDefault="00265357" w:rsidP="003634E8">
      <w:pPr>
        <w:spacing w:before="240"/>
        <w:ind w:right="21"/>
        <w:rPr>
          <w:rFonts w:ascii="Arial" w:hAnsi="Arial" w:cs="Arial"/>
          <w:sz w:val="22"/>
          <w:szCs w:val="22"/>
        </w:rPr>
      </w:pPr>
    </w:p>
    <w:p w14:paraId="070C3760" w14:textId="2E3DD927" w:rsidR="00265357" w:rsidRDefault="00265357" w:rsidP="00265357">
      <w:pPr>
        <w:spacing w:before="240"/>
        <w:ind w:right="21"/>
        <w:jc w:val="center"/>
        <w:rPr>
          <w:rFonts w:ascii="Arial" w:hAnsi="Arial" w:cs="Arial"/>
          <w:sz w:val="22"/>
          <w:szCs w:val="22"/>
        </w:rPr>
      </w:pPr>
    </w:p>
    <w:p w14:paraId="15C06DAF" w14:textId="77777777" w:rsidR="00AC776F" w:rsidRDefault="00AC776F" w:rsidP="00265357">
      <w:pPr>
        <w:spacing w:before="240"/>
        <w:ind w:right="21"/>
        <w:jc w:val="center"/>
        <w:rPr>
          <w:rFonts w:ascii="Arial" w:hAnsi="Arial" w:cs="Arial"/>
          <w:sz w:val="22"/>
          <w:szCs w:val="22"/>
        </w:rPr>
      </w:pPr>
    </w:p>
    <w:p w14:paraId="4D454380" w14:textId="7C6B8162" w:rsidR="00CC054D" w:rsidRPr="00191D22" w:rsidRDefault="007330A3">
      <w:pPr>
        <w:spacing w:after="160" w:line="259" w:lineRule="auto"/>
        <w:rPr>
          <w:rFonts w:ascii="Arial" w:hAnsi="Arial" w:cs="Arial"/>
          <w:sz w:val="22"/>
          <w:szCs w:val="22"/>
        </w:rPr>
      </w:pPr>
      <w:r>
        <w:br w:type="page"/>
      </w:r>
    </w:p>
    <w:p w14:paraId="0A8B0E5D" w14:textId="77777777" w:rsidR="00CC054D" w:rsidRDefault="00CC054D" w:rsidP="00516427">
      <w:pPr>
        <w:ind w:right="14"/>
        <w:jc w:val="both"/>
        <w:rPr>
          <w:rFonts w:ascii="Arial" w:hAnsi="Arial" w:cs="Arial"/>
          <w:b/>
          <w:sz w:val="20"/>
          <w:szCs w:val="20"/>
          <w:u w:val="single"/>
        </w:rPr>
      </w:pPr>
    </w:p>
    <w:p w14:paraId="75AE1764" w14:textId="67B0F3EF" w:rsidR="004D2F85" w:rsidRPr="001A22F2" w:rsidRDefault="0068612D" w:rsidP="007745B7">
      <w:pPr>
        <w:spacing w:after="120"/>
        <w:ind w:right="14"/>
        <w:jc w:val="both"/>
        <w:rPr>
          <w:rFonts w:ascii="Arial" w:hAnsi="Arial" w:cs="Arial"/>
          <w:b/>
          <w:sz w:val="20"/>
          <w:szCs w:val="20"/>
          <w:u w:val="single"/>
        </w:rPr>
      </w:pPr>
      <w:r w:rsidRPr="001A22F2">
        <w:rPr>
          <w:rFonts w:ascii="Arial" w:hAnsi="Arial"/>
          <w:b/>
          <w:sz w:val="20"/>
          <w:u w:val="single"/>
        </w:rPr>
        <w:t>Informacione të përgjithshme:</w:t>
      </w:r>
    </w:p>
    <w:p w14:paraId="32C46086" w14:textId="7E1ABAAE" w:rsidR="000D799A" w:rsidRPr="000D799A" w:rsidRDefault="000D799A" w:rsidP="007745B7">
      <w:pPr>
        <w:spacing w:after="120"/>
        <w:ind w:right="21"/>
        <w:jc w:val="both"/>
        <w:rPr>
          <w:rFonts w:ascii="Arial" w:hAnsi="Arial" w:cs="Arial"/>
          <w:bCs/>
          <w:iCs/>
          <w:sz w:val="20"/>
          <w:szCs w:val="20"/>
        </w:rPr>
      </w:pPr>
      <w:r>
        <w:rPr>
          <w:rFonts w:ascii="Arial" w:hAnsi="Arial"/>
          <w:sz w:val="20"/>
        </w:rPr>
        <w:t>Instituti Parlamentar është</w:t>
      </w:r>
      <w:r w:rsidR="00EF3530">
        <w:rPr>
          <w:rFonts w:ascii="Arial" w:hAnsi="Arial"/>
          <w:sz w:val="20"/>
        </w:rPr>
        <w:t xml:space="preserve"> </w:t>
      </w:r>
      <w:r>
        <w:rPr>
          <w:rFonts w:ascii="Arial" w:hAnsi="Arial"/>
          <w:sz w:val="20"/>
        </w:rPr>
        <w:t xml:space="preserve">njësi e veçantë organizative në Shërbimin e Kuvendit të Republikës së Maqedonisë së Veriut që funksionon si një qendër për hulumtim, edukim dhe informim, i themeluar mbi parimet e paanshmërisë, arritshmërisë dhe kredibilitetit. </w:t>
      </w:r>
    </w:p>
    <w:p w14:paraId="32B7BEA3" w14:textId="5F4071D1" w:rsidR="004D03C0" w:rsidRDefault="00AC776F" w:rsidP="00516427">
      <w:pPr>
        <w:spacing w:after="120"/>
        <w:ind w:right="21"/>
        <w:jc w:val="both"/>
        <w:rPr>
          <w:rFonts w:ascii="Arial" w:hAnsi="Arial" w:cs="Arial"/>
          <w:bCs/>
          <w:iCs/>
          <w:sz w:val="20"/>
          <w:szCs w:val="20"/>
        </w:rPr>
      </w:pPr>
      <w:r>
        <w:rPr>
          <w:rFonts w:ascii="Arial" w:hAnsi="Arial"/>
          <w:sz w:val="20"/>
        </w:rPr>
        <w:t xml:space="preserve">Instituti Parlamentar, ndër të tjera, kryen aktivitete për edukim dhe informim të qytetarëve për punën dhe rolin e Kuvendit (në përputhje me qëllimin e tij strategjik për transparencën e Kuvendit ndaj publikut). </w:t>
      </w:r>
    </w:p>
    <w:p w14:paraId="534F6B9A" w14:textId="61534DBF" w:rsidR="002B0021" w:rsidRPr="001953F0" w:rsidRDefault="00AC776F" w:rsidP="00336EB9">
      <w:pPr>
        <w:spacing w:after="60"/>
        <w:ind w:right="21"/>
        <w:jc w:val="both"/>
        <w:rPr>
          <w:rFonts w:ascii="Arial" w:hAnsi="Arial" w:cs="Arial"/>
          <w:bCs/>
          <w:iCs/>
          <w:sz w:val="20"/>
          <w:szCs w:val="20"/>
        </w:rPr>
      </w:pPr>
      <w:r>
        <w:rPr>
          <w:rFonts w:ascii="Arial" w:hAnsi="Arial"/>
          <w:sz w:val="20"/>
        </w:rPr>
        <w:t>Gjatë vitit shkollor 2022- 2022, është planifikuar të organizohen katër seminare njëditore për edukimin e studentëve të universiteteve në Republikën e Maqedonisë së Veriut me temë:</w:t>
      </w:r>
      <w:r>
        <w:rPr>
          <w:rFonts w:ascii="Arial" w:hAnsi="Arial"/>
          <w:b/>
          <w:bCs/>
          <w:sz w:val="20"/>
        </w:rPr>
        <w:t xml:space="preserve"> “Parlamenti (Kuvendi) si institucion themelor i të drejtës parlamentare”.</w:t>
      </w:r>
      <w:r>
        <w:rPr>
          <w:rFonts w:ascii="Arial" w:hAnsi="Arial"/>
          <w:sz w:val="20"/>
        </w:rPr>
        <w:t xml:space="preserve"> Aktivitetit është program i veçantë i Njësisë për Edukim dhe Komunikim të Institutit Parlamentar që realizohet si një punëtori </w:t>
      </w:r>
      <w:r w:rsidR="00EF3530">
        <w:rPr>
          <w:rFonts w:ascii="Arial" w:hAnsi="Arial"/>
          <w:sz w:val="20"/>
        </w:rPr>
        <w:t>në kohëzgjatje prej gjashtë orësh</w:t>
      </w:r>
      <w:r>
        <w:rPr>
          <w:rFonts w:ascii="Arial" w:hAnsi="Arial"/>
          <w:sz w:val="20"/>
        </w:rPr>
        <w:t xml:space="preserve">. Këto seminare do të dedikohen për studentë të ciklit të parë dhe të dytë të studimeve në universitetet e akredituara të Republikës së Maqedonisë së Veriut. Përparësi do të kenë studentët të cilët në kuadër të programit mësimor mësojnë një nga këto lëndë: E drejta parlamemntare, </w:t>
      </w:r>
      <w:r w:rsidR="00EF3530">
        <w:rPr>
          <w:rFonts w:ascii="Arial" w:hAnsi="Arial"/>
          <w:sz w:val="20"/>
        </w:rPr>
        <w:t>E</w:t>
      </w:r>
      <w:r>
        <w:rPr>
          <w:rFonts w:ascii="Arial" w:hAnsi="Arial"/>
          <w:sz w:val="20"/>
        </w:rPr>
        <w:t xml:space="preserve"> drejta kushtetuese, </w:t>
      </w:r>
      <w:r w:rsidR="00EF3530">
        <w:rPr>
          <w:rFonts w:ascii="Arial" w:hAnsi="Arial"/>
          <w:sz w:val="20"/>
        </w:rPr>
        <w:t>K</w:t>
      </w:r>
      <w:r>
        <w:rPr>
          <w:rFonts w:ascii="Arial" w:hAnsi="Arial"/>
          <w:sz w:val="20"/>
        </w:rPr>
        <w:t>onstitucionalizmi, Sistemi politik, Organizimi i pushtetit dhe ngjashëm.</w:t>
      </w:r>
    </w:p>
    <w:p w14:paraId="3BC1833D" w14:textId="53DA8362" w:rsidR="00623FA9" w:rsidRDefault="00812A9C" w:rsidP="00A82A49">
      <w:pPr>
        <w:spacing w:after="120"/>
        <w:ind w:right="21"/>
        <w:jc w:val="both"/>
        <w:rPr>
          <w:rFonts w:ascii="Arial" w:hAnsi="Arial" w:cs="Arial"/>
          <w:bCs/>
          <w:iCs/>
          <w:sz w:val="20"/>
          <w:szCs w:val="20"/>
        </w:rPr>
      </w:pPr>
      <w:r>
        <w:rPr>
          <w:rFonts w:ascii="Arial" w:hAnsi="Arial"/>
          <w:sz w:val="20"/>
        </w:rPr>
        <w:t>Pas përfundimit të kufizimeve për vizita në Kuvend për shkak të situatës me pandeminë e virusit kovid-19, Instituti Parlamentar i është rikthyer mënyrës së vjetër të zbatimit të aktiviteteve për promovimin e kulturës së hapjes së pushtetit ligjvënës, me praninë fizike të pjesëmarrësve në ndërtesën e Kuvendit.</w:t>
      </w:r>
    </w:p>
    <w:p w14:paraId="6DC1D7EF" w14:textId="5414862D" w:rsidR="002B0021" w:rsidRPr="001A22F2" w:rsidRDefault="002B0021" w:rsidP="002B0021">
      <w:pPr>
        <w:spacing w:after="120"/>
        <w:jc w:val="both"/>
        <w:rPr>
          <w:rFonts w:ascii="Arial" w:hAnsi="Arial" w:cs="Arial"/>
          <w:bCs/>
          <w:iCs/>
          <w:sz w:val="20"/>
          <w:szCs w:val="20"/>
          <w:lang w:val="mk-MK"/>
        </w:rPr>
      </w:pPr>
      <w:r>
        <w:rPr>
          <w:rFonts w:ascii="Arial" w:hAnsi="Arial"/>
          <w:b/>
          <w:sz w:val="20"/>
          <w:u w:val="single"/>
        </w:rPr>
        <w:t>Përshkrimi i seminarit</w:t>
      </w:r>
      <w:r w:rsidR="001A22F2">
        <w:rPr>
          <w:rFonts w:ascii="Arial" w:hAnsi="Arial"/>
          <w:b/>
          <w:sz w:val="20"/>
          <w:u w:val="single"/>
          <w:lang w:val="mk-MK"/>
        </w:rPr>
        <w:t>:</w:t>
      </w:r>
    </w:p>
    <w:p w14:paraId="558F6E19" w14:textId="6DF9EF21" w:rsidR="000B0323" w:rsidRPr="000D799A" w:rsidRDefault="00812A9C" w:rsidP="007745B7">
      <w:pPr>
        <w:spacing w:after="120"/>
        <w:ind w:right="21"/>
        <w:jc w:val="both"/>
        <w:rPr>
          <w:rFonts w:ascii="Arial" w:hAnsi="Arial" w:cs="Arial"/>
          <w:bCs/>
          <w:iCs/>
          <w:sz w:val="20"/>
          <w:szCs w:val="20"/>
        </w:rPr>
      </w:pPr>
      <w:r>
        <w:rPr>
          <w:rFonts w:ascii="Arial" w:hAnsi="Arial"/>
          <w:sz w:val="20"/>
        </w:rPr>
        <w:t>Aktiviteti edukativ është paramenduar të zbatohet në lloj të seminarit në kohëzgjatje prej gjashtë orësh. Seminari është një përpjekje për të përfshirë aspektet teorike të së drejtës parlamentare, me një fokus në zbatimin e tyre praktik. Qasja e trajnuesit është kombinim i prezantimit, fasilitimit (lehtësimit/ndihmës) dhe fidbekut (informatë</w:t>
      </w:r>
      <w:r w:rsidR="00EF3530">
        <w:rPr>
          <w:rFonts w:ascii="Arial" w:hAnsi="Arial"/>
          <w:sz w:val="20"/>
        </w:rPr>
        <w:t>s</w:t>
      </w:r>
      <w:r>
        <w:rPr>
          <w:rFonts w:ascii="Arial" w:hAnsi="Arial"/>
          <w:sz w:val="20"/>
        </w:rPr>
        <w:t xml:space="preserve"> kthyese). Në seminar dominon një qasje interaktive, që paraqet përfshirjen e pjesëmarrësve nëpërmjet pyetjeve dhe diskutimeve dhe shkëmbimit të përvojave.  Seminari bazohet në përvojën e trajnuesve, të cilët përveç njohurisë praktike si pjesë e shërbimit të Kuvendit të Republikës së Maqedonisë së Veriut, posedojnë edhe njohuri akademike (teorike) nga sfera</w:t>
      </w:r>
      <w:r w:rsidR="00A601DF">
        <w:rPr>
          <w:rFonts w:ascii="Arial" w:hAnsi="Arial"/>
          <w:sz w:val="20"/>
        </w:rPr>
        <w:t xml:space="preserve"> e caktuar</w:t>
      </w:r>
      <w:r>
        <w:rPr>
          <w:rFonts w:ascii="Arial" w:hAnsi="Arial"/>
          <w:sz w:val="20"/>
        </w:rPr>
        <w:t>.</w:t>
      </w:r>
    </w:p>
    <w:p w14:paraId="50084872" w14:textId="73AE50CB" w:rsidR="00C264AF" w:rsidRDefault="00812A9C" w:rsidP="00C264AF">
      <w:pPr>
        <w:pStyle w:val="NormalWeb"/>
        <w:spacing w:before="0" w:beforeAutospacing="0" w:after="60" w:afterAutospacing="0" w:line="276" w:lineRule="auto"/>
        <w:jc w:val="both"/>
        <w:rPr>
          <w:rFonts w:ascii="Arial" w:hAnsi="Arial" w:cs="Arial"/>
          <w:bCs/>
          <w:iCs/>
          <w:sz w:val="20"/>
          <w:szCs w:val="20"/>
        </w:rPr>
      </w:pPr>
      <w:r>
        <w:rPr>
          <w:rFonts w:ascii="Arial" w:hAnsi="Arial"/>
          <w:sz w:val="20"/>
        </w:rPr>
        <w:t xml:space="preserve">Seminari fillon me vizitë të organizuar në pjesën solemne të Kuvendit, që përfshin vizitë të Sallës Maqedonia (Salla Plenare), Sallës Boris Trajkovski, Sallës së Ohrit, Sallës së Drugdhjendjes së thellë dhe hapësirave të tjera. Nëpërmjet vizitës, pjesëmarrësit kanë mundësinë që nga afër të njihen me </w:t>
      </w:r>
      <w:r>
        <w:rPr>
          <w:rFonts w:ascii="Arial" w:hAnsi="Arial"/>
          <w:sz w:val="20"/>
        </w:rPr>
        <w:lastRenderedPageBreak/>
        <w:t>hapësirën në të cilën punojnë deputetët në Kuvendin e Republikës së Maqedonisë së  Veriut.</w:t>
      </w:r>
    </w:p>
    <w:p w14:paraId="59CE9E6E" w14:textId="6138DE4E" w:rsidR="007745B7" w:rsidRDefault="009165F4" w:rsidP="007B6989">
      <w:pPr>
        <w:pStyle w:val="NormalWeb"/>
        <w:spacing w:before="0" w:beforeAutospacing="0" w:after="120" w:afterAutospacing="0" w:line="276" w:lineRule="auto"/>
        <w:jc w:val="both"/>
        <w:rPr>
          <w:rFonts w:ascii="Arial" w:hAnsi="Arial" w:cs="Arial"/>
          <w:bCs/>
          <w:iCs/>
          <w:sz w:val="20"/>
          <w:szCs w:val="20"/>
        </w:rPr>
      </w:pPr>
      <w:r>
        <w:rPr>
          <w:rFonts w:ascii="Arial" w:hAnsi="Arial"/>
          <w:sz w:val="20"/>
        </w:rPr>
        <w:t xml:space="preserve">Agjenda e seminari përbëhet nga katër sesione tematike. Sesioni i </w:t>
      </w:r>
      <w:r w:rsidR="00A601DF">
        <w:rPr>
          <w:rFonts w:ascii="Arial" w:hAnsi="Arial"/>
          <w:sz w:val="20"/>
        </w:rPr>
        <w:t>parë</w:t>
      </w:r>
      <w:r>
        <w:rPr>
          <w:rFonts w:ascii="Arial" w:hAnsi="Arial"/>
          <w:sz w:val="20"/>
        </w:rPr>
        <w:t xml:space="preserve"> i kushtohet historisë së parlamentarizmit në Maqedoni, kështu që studentët kanë mundësinë të njihen me të kaluarën, proceset historike, ngjarjet dhe personalitetet që kanë lënë gjurmë në historinë e parlamentarizmit në Maqedoni.</w:t>
      </w:r>
    </w:p>
    <w:p w14:paraId="2BB8B02E" w14:textId="713CEF1E" w:rsidR="00DD7D15" w:rsidRDefault="00DD7D15" w:rsidP="007B6989">
      <w:pPr>
        <w:pStyle w:val="NormalWeb"/>
        <w:spacing w:before="0" w:beforeAutospacing="0" w:after="120" w:afterAutospacing="0" w:line="276" w:lineRule="auto"/>
        <w:jc w:val="both"/>
        <w:rPr>
          <w:rFonts w:ascii="Arial" w:hAnsi="Arial" w:cs="Arial"/>
          <w:bCs/>
          <w:iCs/>
          <w:sz w:val="20"/>
          <w:szCs w:val="20"/>
        </w:rPr>
      </w:pPr>
      <w:r>
        <w:rPr>
          <w:rFonts w:ascii="Arial" w:hAnsi="Arial"/>
          <w:sz w:val="20"/>
        </w:rPr>
        <w:t>Në sesionin e dytë, theksi vihet në organizimin dhe funksionimin e Kuvendit, përkatësisht në atë se çfarë e bën Kuvendin organ përfaqësues të qytetarëve dhe bartës të pushtetit ligjvënës të Republikës. Qëllimi i sesionit është njohja e studentëve me rregullat sipas të cilave zhvillohet parlamentarizmi dhe veprimtaria e deputetëve në Kuvendin e Republikës së Maqedonisë së Veriut.</w:t>
      </w:r>
    </w:p>
    <w:p w14:paraId="239C7A6F" w14:textId="77777777" w:rsidR="007B6989" w:rsidRDefault="007B6989" w:rsidP="007B6989">
      <w:pPr>
        <w:pStyle w:val="NormalWeb"/>
        <w:spacing w:before="0" w:beforeAutospacing="0" w:after="60" w:afterAutospacing="0" w:line="276" w:lineRule="auto"/>
        <w:jc w:val="both"/>
        <w:rPr>
          <w:rFonts w:ascii="Arial" w:hAnsi="Arial" w:cs="Arial"/>
          <w:bCs/>
          <w:iCs/>
          <w:sz w:val="20"/>
          <w:szCs w:val="20"/>
        </w:rPr>
      </w:pPr>
      <w:r>
        <w:rPr>
          <w:rFonts w:ascii="Arial" w:hAnsi="Arial"/>
          <w:sz w:val="20"/>
        </w:rPr>
        <w:t>Sesioni i tretë kombinon qasjen teorike dhe praktike të trajnuesit gjatë shqyrtimit të pozitës juridike të deputetëve dhe roleve të ndryshme në të cilat mund të gjenden përfaqësuesit e popullit gjatë ushtrimit të funksionit të deputetit.</w:t>
      </w:r>
    </w:p>
    <w:p w14:paraId="1D4D6A52" w14:textId="371AC73A" w:rsidR="002237DE" w:rsidRDefault="007B6989" w:rsidP="007B6989">
      <w:pPr>
        <w:pStyle w:val="NormalWeb"/>
        <w:spacing w:before="0" w:beforeAutospacing="0" w:after="120" w:afterAutospacing="0" w:line="276" w:lineRule="auto"/>
        <w:jc w:val="both"/>
        <w:rPr>
          <w:rFonts w:ascii="Arial" w:hAnsi="Arial" w:cs="Arial"/>
          <w:bCs/>
          <w:iCs/>
          <w:sz w:val="20"/>
          <w:szCs w:val="20"/>
        </w:rPr>
      </w:pPr>
      <w:r>
        <w:rPr>
          <w:rFonts w:ascii="Arial" w:hAnsi="Arial"/>
          <w:sz w:val="20"/>
        </w:rPr>
        <w:t>Gjatë sesionit së fundit, shqyrtohen kompetencat themelore të Kuvendit, me theks të veçantë në procedurën e miratimit të ligjeve.</w:t>
      </w:r>
    </w:p>
    <w:p w14:paraId="1959C1FB" w14:textId="67F030D6" w:rsidR="007B6989" w:rsidRDefault="007B6989" w:rsidP="007B6989">
      <w:pPr>
        <w:pStyle w:val="NormalWeb"/>
        <w:spacing w:before="0" w:beforeAutospacing="0" w:after="120" w:afterAutospacing="0" w:line="276" w:lineRule="auto"/>
        <w:jc w:val="both"/>
        <w:rPr>
          <w:rFonts w:ascii="Arial" w:hAnsi="Arial" w:cs="Arial"/>
          <w:bCs/>
          <w:iCs/>
          <w:sz w:val="20"/>
          <w:szCs w:val="20"/>
        </w:rPr>
      </w:pPr>
      <w:bookmarkStart w:id="0" w:name="_Hlk49348520"/>
      <w:r>
        <w:rPr>
          <w:rFonts w:ascii="Arial" w:hAnsi="Arial"/>
          <w:sz w:val="20"/>
        </w:rPr>
        <w:t>Në kuadër të sesionit të dytë dhe të tretën do të përfshihen edhe deputetët e Kuvendit, në mënyrë që studentëve t’u tregohet edhe për aspektet e punës në Kuvend që do të jenë temë e shqyrtimit të sesioneve. Në këtë mënyrë studentëve do t'u mundësohet që në mënyrë të drejtpërdrejt të parashtrojnë pyetje dhe të diskutojnë me deputetët për punën dhe rolin e tyre në procesin demokratik, si dhe për tema të rëndësishme në fushën e parlamentarizmit.</w:t>
      </w:r>
      <w:bookmarkEnd w:id="0"/>
    </w:p>
    <w:p w14:paraId="523FE150" w14:textId="0DB7E0FC" w:rsidR="006704FC" w:rsidRPr="007745B7" w:rsidRDefault="00F041FF" w:rsidP="007745B7">
      <w:pPr>
        <w:spacing w:after="120" w:line="276" w:lineRule="auto"/>
        <w:ind w:right="21"/>
        <w:jc w:val="both"/>
        <w:rPr>
          <w:rFonts w:ascii="Arial" w:hAnsi="Arial" w:cs="Arial"/>
          <w:bCs/>
          <w:iCs/>
          <w:sz w:val="20"/>
          <w:szCs w:val="20"/>
        </w:rPr>
        <w:sectPr w:rsidR="006704FC" w:rsidRPr="007745B7" w:rsidSect="00265357">
          <w:headerReference w:type="default" r:id="rId9"/>
          <w:footerReference w:type="default" r:id="rId10"/>
          <w:pgSz w:w="8391" w:h="11907" w:code="11"/>
          <w:pgMar w:top="720" w:right="720" w:bottom="720" w:left="720" w:header="432" w:footer="432" w:gutter="0"/>
          <w:cols w:space="720"/>
          <w:titlePg/>
          <w:docGrid w:linePitch="360"/>
        </w:sectPr>
      </w:pPr>
      <w:r>
        <w:rPr>
          <w:rFonts w:ascii="Arial" w:hAnsi="Arial"/>
          <w:sz w:val="20"/>
        </w:rPr>
        <w:t>Të gjithë pjesëmarrësve në këtë punëtori do t’u jepen certifikat</w:t>
      </w:r>
      <w:r w:rsidR="00A601DF">
        <w:rPr>
          <w:rFonts w:ascii="Arial" w:hAnsi="Arial"/>
          <w:sz w:val="20"/>
        </w:rPr>
        <w:t>a</w:t>
      </w:r>
      <w:r>
        <w:rPr>
          <w:rFonts w:ascii="Arial" w:hAnsi="Arial"/>
          <w:sz w:val="20"/>
        </w:rPr>
        <w:t xml:space="preserve"> për pjesëmarrje.</w:t>
      </w:r>
    </w:p>
    <w:tbl>
      <w:tblPr>
        <w:tblStyle w:val="TableGrid"/>
        <w:tblW w:w="712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5131"/>
      </w:tblGrid>
      <w:tr w:rsidR="006704FC" w14:paraId="49EB5A1A" w14:textId="77777777" w:rsidTr="00085823">
        <w:trPr>
          <w:trHeight w:val="490"/>
        </w:trPr>
        <w:tc>
          <w:tcPr>
            <w:tcW w:w="1991" w:type="dxa"/>
          </w:tcPr>
          <w:p w14:paraId="70A377F6" w14:textId="4435CE8C" w:rsidR="006704FC" w:rsidRDefault="006704FC" w:rsidP="000178BE">
            <w:pPr>
              <w:ind w:right="-726"/>
              <w:rPr>
                <w:rFonts w:ascii="Arial" w:hAnsi="Arial" w:cs="Arial"/>
                <w:b/>
                <w:bCs/>
                <w:iCs/>
                <w:sz w:val="20"/>
                <w:szCs w:val="20"/>
                <w:u w:val="single"/>
              </w:rPr>
            </w:pPr>
            <w:r>
              <w:rPr>
                <w:rFonts w:ascii="Arial" w:hAnsi="Arial"/>
                <w:b/>
                <w:sz w:val="20"/>
                <w:u w:val="single"/>
              </w:rPr>
              <w:lastRenderedPageBreak/>
              <w:t>Qëllimet e përgjithshme të seminari:</w:t>
            </w:r>
          </w:p>
        </w:tc>
        <w:tc>
          <w:tcPr>
            <w:tcW w:w="5131" w:type="dxa"/>
          </w:tcPr>
          <w:p w14:paraId="4A3E0FA7" w14:textId="238EF99F" w:rsidR="006704FC" w:rsidRDefault="006704FC" w:rsidP="000178BE">
            <w:pPr>
              <w:jc w:val="both"/>
              <w:rPr>
                <w:rFonts w:ascii="Arial" w:hAnsi="Arial" w:cs="Arial"/>
                <w:b/>
                <w:bCs/>
                <w:iCs/>
                <w:sz w:val="20"/>
                <w:szCs w:val="20"/>
                <w:u w:val="single"/>
              </w:rPr>
            </w:pPr>
            <w:r>
              <w:rPr>
                <w:rFonts w:ascii="Arial" w:hAnsi="Arial"/>
                <w:sz w:val="20"/>
              </w:rPr>
              <w:t>Afrimi i punës së Kuvendit të Republikës së Maqedonisë së Veriut te popullata e re, që do të kontribuojë në zhvillimin e ndërgjegjësimit të tyre për përfitimet e demokracisë dhe do t'i inkurajojë ata për kritikë dhe përfshirje shoqërore dhe politike.</w:t>
            </w:r>
          </w:p>
        </w:tc>
      </w:tr>
      <w:tr w:rsidR="006704FC" w14:paraId="2F64FEFC" w14:textId="77777777" w:rsidTr="00085823">
        <w:trPr>
          <w:trHeight w:val="490"/>
        </w:trPr>
        <w:tc>
          <w:tcPr>
            <w:tcW w:w="1991" w:type="dxa"/>
          </w:tcPr>
          <w:p w14:paraId="64EC6884" w14:textId="77777777" w:rsidR="006704FC" w:rsidRDefault="006704FC" w:rsidP="002E3651">
            <w:pPr>
              <w:spacing w:before="120"/>
              <w:ind w:right="-726"/>
              <w:rPr>
                <w:rFonts w:ascii="Arial" w:hAnsi="Arial" w:cs="Arial"/>
                <w:b/>
                <w:bCs/>
                <w:iCs/>
                <w:sz w:val="20"/>
                <w:szCs w:val="20"/>
                <w:u w:val="single"/>
              </w:rPr>
            </w:pPr>
            <w:r>
              <w:rPr>
                <w:rFonts w:ascii="Arial" w:hAnsi="Arial"/>
                <w:b/>
                <w:sz w:val="20"/>
                <w:u w:val="single"/>
              </w:rPr>
              <w:t>Numri i pjesëmarrësve</w:t>
            </w:r>
            <w:r>
              <w:rPr>
                <w:rFonts w:ascii="Arial" w:hAnsi="Arial"/>
                <w:b/>
                <w:sz w:val="20"/>
              </w:rPr>
              <w:t>:</w:t>
            </w:r>
          </w:p>
        </w:tc>
        <w:tc>
          <w:tcPr>
            <w:tcW w:w="5131" w:type="dxa"/>
          </w:tcPr>
          <w:p w14:paraId="5C727E52" w14:textId="6C6CCCA7" w:rsidR="006704FC" w:rsidRPr="001953F0" w:rsidRDefault="00CD2E3C" w:rsidP="002E3651">
            <w:pPr>
              <w:spacing w:before="120"/>
              <w:jc w:val="both"/>
              <w:rPr>
                <w:rFonts w:ascii="Arial" w:hAnsi="Arial" w:cs="Arial"/>
                <w:b/>
                <w:bCs/>
                <w:iCs/>
                <w:sz w:val="20"/>
                <w:szCs w:val="20"/>
                <w:u w:val="single"/>
              </w:rPr>
            </w:pPr>
            <w:r>
              <w:rPr>
                <w:rFonts w:ascii="Arial" w:hAnsi="Arial"/>
                <w:sz w:val="20"/>
              </w:rPr>
              <w:t>Dy fakultete, numri i pjesëmarrësve nga një fakultet është maksimum 14 studentë dhe një person përgjegjës (profesor ose asistent)</w:t>
            </w:r>
          </w:p>
        </w:tc>
      </w:tr>
      <w:tr w:rsidR="006704FC" w14:paraId="6966964D" w14:textId="77777777" w:rsidTr="00085823">
        <w:trPr>
          <w:trHeight w:val="490"/>
        </w:trPr>
        <w:tc>
          <w:tcPr>
            <w:tcW w:w="1991" w:type="dxa"/>
          </w:tcPr>
          <w:p w14:paraId="5096D24D" w14:textId="77777777" w:rsidR="006704FC" w:rsidRDefault="006704FC" w:rsidP="002E3651">
            <w:pPr>
              <w:spacing w:before="120"/>
              <w:ind w:right="-726"/>
              <w:rPr>
                <w:rFonts w:ascii="Arial" w:hAnsi="Arial" w:cs="Arial"/>
                <w:b/>
                <w:bCs/>
                <w:iCs/>
                <w:sz w:val="20"/>
                <w:szCs w:val="20"/>
                <w:u w:val="single"/>
              </w:rPr>
            </w:pPr>
            <w:r>
              <w:rPr>
                <w:rFonts w:ascii="Arial" w:hAnsi="Arial"/>
                <w:b/>
                <w:sz w:val="20"/>
                <w:u w:val="single"/>
              </w:rPr>
              <w:t>Koha:</w:t>
            </w:r>
          </w:p>
        </w:tc>
        <w:tc>
          <w:tcPr>
            <w:tcW w:w="5131" w:type="dxa"/>
          </w:tcPr>
          <w:p w14:paraId="450EBC1F" w14:textId="131358E3" w:rsidR="006704FC" w:rsidRPr="001953F0" w:rsidRDefault="00CD2E3C" w:rsidP="002E3651">
            <w:pPr>
              <w:spacing w:before="120"/>
              <w:jc w:val="both"/>
              <w:rPr>
                <w:rFonts w:ascii="Arial" w:hAnsi="Arial" w:cs="Arial"/>
                <w:bCs/>
                <w:iCs/>
                <w:sz w:val="20"/>
                <w:szCs w:val="20"/>
              </w:rPr>
            </w:pPr>
            <w:r>
              <w:rPr>
                <w:rFonts w:ascii="Arial" w:hAnsi="Arial"/>
                <w:sz w:val="20"/>
              </w:rPr>
              <w:t>13 tetor dhe 7 dhjetor 2022, 1 mars dhe 3 maj 2023</w:t>
            </w:r>
          </w:p>
          <w:p w14:paraId="6153DD88" w14:textId="77777777" w:rsidR="006704FC" w:rsidRPr="001953F0" w:rsidRDefault="006704FC" w:rsidP="00085823">
            <w:pPr>
              <w:jc w:val="both"/>
              <w:rPr>
                <w:rFonts w:ascii="Arial" w:hAnsi="Arial" w:cs="Arial"/>
                <w:bCs/>
                <w:iCs/>
                <w:sz w:val="20"/>
                <w:szCs w:val="20"/>
              </w:rPr>
            </w:pPr>
          </w:p>
        </w:tc>
      </w:tr>
      <w:tr w:rsidR="006704FC" w14:paraId="39065F23" w14:textId="77777777" w:rsidTr="00085823">
        <w:trPr>
          <w:trHeight w:val="490"/>
        </w:trPr>
        <w:tc>
          <w:tcPr>
            <w:tcW w:w="1991" w:type="dxa"/>
          </w:tcPr>
          <w:p w14:paraId="1FA0F765" w14:textId="77777777" w:rsidR="006704FC" w:rsidRDefault="006704FC" w:rsidP="002B0DBC">
            <w:pPr>
              <w:ind w:right="-726"/>
              <w:rPr>
                <w:rFonts w:ascii="Arial" w:hAnsi="Arial" w:cs="Arial"/>
                <w:b/>
                <w:bCs/>
                <w:iCs/>
                <w:sz w:val="20"/>
                <w:szCs w:val="20"/>
                <w:u w:val="single"/>
              </w:rPr>
            </w:pPr>
            <w:r>
              <w:rPr>
                <w:rFonts w:ascii="Arial" w:hAnsi="Arial"/>
                <w:b/>
                <w:sz w:val="20"/>
                <w:u w:val="single"/>
              </w:rPr>
              <w:t>Vendi:</w:t>
            </w:r>
          </w:p>
        </w:tc>
        <w:tc>
          <w:tcPr>
            <w:tcW w:w="5131" w:type="dxa"/>
          </w:tcPr>
          <w:p w14:paraId="0B4389B3" w14:textId="3AC50864" w:rsidR="006704FC" w:rsidRPr="00B5147A" w:rsidRDefault="001A43A0" w:rsidP="00085823">
            <w:pPr>
              <w:jc w:val="both"/>
              <w:rPr>
                <w:rFonts w:ascii="Arial" w:hAnsi="Arial" w:cs="Arial"/>
                <w:bCs/>
                <w:iCs/>
                <w:sz w:val="20"/>
                <w:szCs w:val="20"/>
              </w:rPr>
            </w:pPr>
            <w:r>
              <w:rPr>
                <w:rFonts w:ascii="Arial" w:hAnsi="Arial"/>
                <w:sz w:val="20"/>
              </w:rPr>
              <w:t>Qendra edukative e Instituti Parlamentar në Kuvendin e Republikës së Maqedonisë së Veriut</w:t>
            </w:r>
          </w:p>
        </w:tc>
      </w:tr>
      <w:tr w:rsidR="006704FC" w14:paraId="05B69240" w14:textId="77777777" w:rsidTr="00085823">
        <w:trPr>
          <w:trHeight w:val="490"/>
        </w:trPr>
        <w:tc>
          <w:tcPr>
            <w:tcW w:w="1991" w:type="dxa"/>
          </w:tcPr>
          <w:p w14:paraId="447C83A7" w14:textId="77777777" w:rsidR="006704FC" w:rsidRDefault="006704FC" w:rsidP="00085823">
            <w:pPr>
              <w:spacing w:before="240"/>
              <w:ind w:right="-726"/>
              <w:rPr>
                <w:rFonts w:ascii="Arial" w:hAnsi="Arial" w:cs="Arial"/>
                <w:b/>
                <w:bCs/>
                <w:iCs/>
                <w:sz w:val="20"/>
                <w:szCs w:val="20"/>
                <w:u w:val="single"/>
              </w:rPr>
            </w:pPr>
            <w:r>
              <w:rPr>
                <w:rFonts w:ascii="Arial" w:hAnsi="Arial"/>
                <w:b/>
                <w:sz w:val="20"/>
                <w:u w:val="single"/>
              </w:rPr>
              <w:t>Gjuha:</w:t>
            </w:r>
          </w:p>
        </w:tc>
        <w:tc>
          <w:tcPr>
            <w:tcW w:w="5131" w:type="dxa"/>
          </w:tcPr>
          <w:p w14:paraId="77D37182" w14:textId="77777777" w:rsidR="006704FC" w:rsidRDefault="006704FC" w:rsidP="00085823">
            <w:pPr>
              <w:spacing w:before="240"/>
              <w:jc w:val="both"/>
              <w:rPr>
                <w:rFonts w:ascii="Arial" w:hAnsi="Arial" w:cs="Arial"/>
                <w:b/>
                <w:bCs/>
                <w:iCs/>
                <w:sz w:val="20"/>
                <w:szCs w:val="20"/>
                <w:u w:val="single"/>
              </w:rPr>
            </w:pPr>
            <w:r>
              <w:rPr>
                <w:rFonts w:ascii="Arial" w:hAnsi="Arial"/>
                <w:sz w:val="20"/>
              </w:rPr>
              <w:t>Gjuha maqedonase me përkthim në gjuhën shqipe</w:t>
            </w:r>
          </w:p>
        </w:tc>
      </w:tr>
      <w:tr w:rsidR="006704FC" w14:paraId="3497B418" w14:textId="77777777" w:rsidTr="00085823">
        <w:trPr>
          <w:trHeight w:val="490"/>
        </w:trPr>
        <w:tc>
          <w:tcPr>
            <w:tcW w:w="1991" w:type="dxa"/>
          </w:tcPr>
          <w:p w14:paraId="481544D7" w14:textId="77777777" w:rsidR="006704FC" w:rsidRDefault="006704FC" w:rsidP="00085823">
            <w:pPr>
              <w:spacing w:before="240"/>
              <w:ind w:right="-726"/>
              <w:rPr>
                <w:rFonts w:ascii="Arial" w:hAnsi="Arial" w:cs="Arial"/>
                <w:b/>
                <w:bCs/>
                <w:iCs/>
                <w:sz w:val="20"/>
                <w:szCs w:val="20"/>
                <w:u w:val="single"/>
              </w:rPr>
            </w:pPr>
            <w:r>
              <w:rPr>
                <w:rFonts w:ascii="Arial" w:hAnsi="Arial"/>
                <w:b/>
                <w:sz w:val="20"/>
                <w:u w:val="single"/>
              </w:rPr>
              <w:t>Trajnues:</w:t>
            </w:r>
          </w:p>
        </w:tc>
        <w:tc>
          <w:tcPr>
            <w:tcW w:w="5131" w:type="dxa"/>
          </w:tcPr>
          <w:p w14:paraId="72FED0A8" w14:textId="64C569BF" w:rsidR="006704FC" w:rsidRDefault="002B0DBC" w:rsidP="00085823">
            <w:pPr>
              <w:spacing w:before="240"/>
              <w:jc w:val="both"/>
              <w:rPr>
                <w:rFonts w:ascii="Arial" w:hAnsi="Arial" w:cs="Arial"/>
                <w:b/>
                <w:bCs/>
                <w:iCs/>
                <w:sz w:val="20"/>
                <w:szCs w:val="20"/>
                <w:u w:val="single"/>
              </w:rPr>
            </w:pPr>
            <w:r>
              <w:rPr>
                <w:rFonts w:ascii="Arial" w:hAnsi="Arial"/>
                <w:sz w:val="20"/>
              </w:rPr>
              <w:t>Seminari do të realizohet nga trajnuesit e Njësisë për Edukim dhe Komunikim në Institutin Parlamentar.</w:t>
            </w:r>
          </w:p>
        </w:tc>
      </w:tr>
      <w:tr w:rsidR="006704FC" w14:paraId="0D56FEEE" w14:textId="77777777" w:rsidTr="00085823">
        <w:trPr>
          <w:trHeight w:val="490"/>
        </w:trPr>
        <w:tc>
          <w:tcPr>
            <w:tcW w:w="1991" w:type="dxa"/>
          </w:tcPr>
          <w:p w14:paraId="3AE4C852" w14:textId="77777777" w:rsidR="006704FC" w:rsidRDefault="006704FC" w:rsidP="00085823">
            <w:pPr>
              <w:spacing w:before="240"/>
              <w:ind w:right="-726"/>
              <w:rPr>
                <w:rFonts w:ascii="Arial" w:hAnsi="Arial" w:cs="Arial"/>
                <w:b/>
                <w:bCs/>
                <w:iCs/>
                <w:sz w:val="20"/>
                <w:szCs w:val="20"/>
                <w:u w:val="single"/>
              </w:rPr>
            </w:pPr>
            <w:r>
              <w:rPr>
                <w:rFonts w:ascii="Arial" w:hAnsi="Arial"/>
                <w:b/>
                <w:sz w:val="20"/>
                <w:u w:val="single"/>
              </w:rPr>
              <w:t>Shpenzime:</w:t>
            </w:r>
          </w:p>
        </w:tc>
        <w:tc>
          <w:tcPr>
            <w:tcW w:w="5131" w:type="dxa"/>
          </w:tcPr>
          <w:p w14:paraId="75E5D631" w14:textId="730696F0" w:rsidR="006704FC" w:rsidRDefault="002B0DBC" w:rsidP="00085823">
            <w:pPr>
              <w:spacing w:before="240"/>
              <w:jc w:val="both"/>
              <w:rPr>
                <w:rFonts w:ascii="Arial" w:hAnsi="Arial" w:cs="Arial"/>
                <w:b/>
                <w:bCs/>
                <w:iCs/>
                <w:sz w:val="20"/>
                <w:szCs w:val="20"/>
                <w:u w:val="single"/>
              </w:rPr>
            </w:pPr>
            <w:r>
              <w:rPr>
                <w:rFonts w:ascii="Arial" w:hAnsi="Arial"/>
                <w:sz w:val="20"/>
              </w:rPr>
              <w:t>Pjesëmarrja në seminar është falas dhe përfshin materiale edukative falas, ushqim dhe pije freskuese gjatë evenimentit. Shpenzimet e transportit nga dhe deri në vendin e seminarit i mbulojnë vetë pjesëmarrësit.</w:t>
            </w:r>
          </w:p>
        </w:tc>
      </w:tr>
      <w:tr w:rsidR="006704FC" w14:paraId="475A5D0F" w14:textId="77777777" w:rsidTr="00085823">
        <w:trPr>
          <w:trHeight w:val="490"/>
        </w:trPr>
        <w:tc>
          <w:tcPr>
            <w:tcW w:w="1991" w:type="dxa"/>
          </w:tcPr>
          <w:p w14:paraId="5D7E9DF1" w14:textId="77777777" w:rsidR="006704FC" w:rsidRDefault="006704FC" w:rsidP="00085823">
            <w:pPr>
              <w:spacing w:before="240"/>
              <w:rPr>
                <w:rFonts w:ascii="Arial" w:hAnsi="Arial" w:cs="Arial"/>
                <w:b/>
                <w:bCs/>
                <w:iCs/>
                <w:sz w:val="20"/>
                <w:szCs w:val="20"/>
                <w:u w:val="single"/>
              </w:rPr>
            </w:pPr>
            <w:r>
              <w:rPr>
                <w:rFonts w:ascii="Arial" w:hAnsi="Arial"/>
                <w:b/>
                <w:sz w:val="20"/>
                <w:u w:val="single"/>
              </w:rPr>
              <w:t>Mënyra e paraqitjes:</w:t>
            </w:r>
          </w:p>
        </w:tc>
        <w:tc>
          <w:tcPr>
            <w:tcW w:w="5131" w:type="dxa"/>
          </w:tcPr>
          <w:p w14:paraId="5D7E0A34" w14:textId="0FBE55FF" w:rsidR="00C625DB" w:rsidRPr="000178BE" w:rsidRDefault="00C625DB" w:rsidP="00C625DB">
            <w:pPr>
              <w:spacing w:before="240"/>
              <w:jc w:val="both"/>
              <w:rPr>
                <w:rFonts w:ascii="Arial" w:hAnsi="Arial" w:cs="Arial"/>
                <w:sz w:val="20"/>
                <w:szCs w:val="20"/>
              </w:rPr>
            </w:pPr>
            <w:r>
              <w:rPr>
                <w:rFonts w:ascii="Arial" w:hAnsi="Arial"/>
                <w:sz w:val="20"/>
              </w:rPr>
              <w:t>Çdo shkollë që do të paraqitet, emëron maksimum 14 studentë të cilët do të marrin pjesë në seminar dhe një person përgjegjës që do t’i shoqërojë. Paraqitja bëhet nëpërmjet platformës softuerike për paraqitje: seminari.sobranie.mk</w:t>
            </w:r>
          </w:p>
        </w:tc>
      </w:tr>
      <w:tr w:rsidR="006704FC" w14:paraId="279ADE33" w14:textId="77777777" w:rsidTr="00085823">
        <w:trPr>
          <w:trHeight w:val="490"/>
        </w:trPr>
        <w:tc>
          <w:tcPr>
            <w:tcW w:w="1991" w:type="dxa"/>
          </w:tcPr>
          <w:p w14:paraId="70B0DF10" w14:textId="77777777" w:rsidR="006704FC" w:rsidRDefault="006704FC" w:rsidP="00085823">
            <w:pPr>
              <w:spacing w:before="240"/>
              <w:ind w:right="-726"/>
              <w:rPr>
                <w:rFonts w:ascii="Arial" w:hAnsi="Arial" w:cs="Arial"/>
                <w:b/>
                <w:bCs/>
                <w:iCs/>
                <w:sz w:val="20"/>
                <w:szCs w:val="20"/>
                <w:u w:val="single"/>
              </w:rPr>
            </w:pPr>
            <w:r>
              <w:rPr>
                <w:rFonts w:ascii="Arial" w:hAnsi="Arial"/>
                <w:b/>
                <w:sz w:val="20"/>
                <w:u w:val="single"/>
              </w:rPr>
              <w:t>Kontakti:</w:t>
            </w:r>
          </w:p>
        </w:tc>
        <w:tc>
          <w:tcPr>
            <w:tcW w:w="5131" w:type="dxa"/>
          </w:tcPr>
          <w:p w14:paraId="4C6A681E" w14:textId="77777777" w:rsidR="006704FC" w:rsidRDefault="006704FC" w:rsidP="00085823">
            <w:pPr>
              <w:spacing w:before="240"/>
              <w:jc w:val="both"/>
              <w:rPr>
                <w:rFonts w:ascii="Arial" w:hAnsi="Arial" w:cs="Arial"/>
                <w:bCs/>
                <w:iCs/>
                <w:sz w:val="20"/>
                <w:szCs w:val="20"/>
              </w:rPr>
            </w:pPr>
            <w:r>
              <w:rPr>
                <w:rFonts w:ascii="Arial" w:hAnsi="Arial"/>
                <w:sz w:val="20"/>
              </w:rPr>
              <w:t xml:space="preserve">E-mail: </w:t>
            </w:r>
            <w:hyperlink r:id="rId11" w:history="1">
              <w:r>
                <w:rPr>
                  <w:rStyle w:val="Hyperlink"/>
                  <w:rFonts w:ascii="Arial" w:hAnsi="Arial"/>
                  <w:sz w:val="20"/>
                </w:rPr>
                <w:t>parl.inst@sobranie.mk</w:t>
              </w:r>
            </w:hyperlink>
          </w:p>
          <w:p w14:paraId="292911C1" w14:textId="77777777" w:rsidR="006704FC" w:rsidRPr="00B5147A" w:rsidRDefault="006704FC" w:rsidP="00085823">
            <w:pPr>
              <w:spacing w:before="60"/>
              <w:jc w:val="both"/>
              <w:rPr>
                <w:rFonts w:ascii="Arial" w:hAnsi="Arial" w:cs="Arial"/>
                <w:bCs/>
                <w:iCs/>
                <w:sz w:val="20"/>
                <w:szCs w:val="20"/>
              </w:rPr>
            </w:pPr>
            <w:r>
              <w:rPr>
                <w:rFonts w:ascii="Arial" w:hAnsi="Arial"/>
                <w:sz w:val="20"/>
              </w:rPr>
              <w:t>tel: 02/3182 - 227</w:t>
            </w:r>
          </w:p>
        </w:tc>
      </w:tr>
      <w:tr w:rsidR="006704FC" w14:paraId="478BD233" w14:textId="77777777" w:rsidTr="00085823">
        <w:trPr>
          <w:trHeight w:val="490"/>
        </w:trPr>
        <w:tc>
          <w:tcPr>
            <w:tcW w:w="1991" w:type="dxa"/>
          </w:tcPr>
          <w:p w14:paraId="7B4B1022" w14:textId="77777777" w:rsidR="006704FC" w:rsidRDefault="006704FC" w:rsidP="00085823">
            <w:pPr>
              <w:spacing w:before="240"/>
              <w:ind w:right="-726"/>
              <w:rPr>
                <w:rFonts w:ascii="Arial" w:hAnsi="Arial" w:cs="Arial"/>
                <w:b/>
                <w:bCs/>
                <w:iCs/>
                <w:sz w:val="20"/>
                <w:szCs w:val="20"/>
                <w:u w:val="single"/>
              </w:rPr>
            </w:pPr>
            <w:r>
              <w:rPr>
                <w:rFonts w:ascii="Arial" w:hAnsi="Arial"/>
                <w:b/>
                <w:sz w:val="20"/>
                <w:u w:val="single"/>
              </w:rPr>
              <w:t>Personi për kontakt:</w:t>
            </w:r>
          </w:p>
        </w:tc>
        <w:tc>
          <w:tcPr>
            <w:tcW w:w="5131" w:type="dxa"/>
          </w:tcPr>
          <w:p w14:paraId="09B6DEBE" w14:textId="72C3D6BE" w:rsidR="006704FC" w:rsidRPr="001953F0" w:rsidRDefault="002E3651" w:rsidP="00085823">
            <w:pPr>
              <w:spacing w:before="240"/>
              <w:jc w:val="both"/>
              <w:rPr>
                <w:rFonts w:ascii="Arial" w:hAnsi="Arial" w:cs="Arial"/>
                <w:b/>
                <w:bCs/>
                <w:iCs/>
                <w:sz w:val="20"/>
                <w:szCs w:val="20"/>
                <w:u w:val="single"/>
              </w:rPr>
            </w:pPr>
            <w:r>
              <w:rPr>
                <w:rFonts w:ascii="Arial" w:hAnsi="Arial"/>
                <w:sz w:val="20"/>
              </w:rPr>
              <w:t>Tome Gushev– këshilltar - këshilltar për edukim juridik-politik në Njësinë për Edukim dhe Komunikim në Institutin Parlamentar</w:t>
            </w:r>
          </w:p>
        </w:tc>
      </w:tr>
    </w:tbl>
    <w:p w14:paraId="769D370F" w14:textId="77777777" w:rsidR="00B4714D" w:rsidRPr="004D03C0" w:rsidRDefault="00B4714D" w:rsidP="00B4714D">
      <w:pPr>
        <w:spacing w:before="240"/>
        <w:jc w:val="both"/>
        <w:rPr>
          <w:rFonts w:ascii="Arial" w:hAnsi="Arial" w:cs="Arial"/>
          <w:bCs/>
          <w:iCs/>
          <w:sz w:val="20"/>
          <w:szCs w:val="20"/>
        </w:rPr>
        <w:sectPr w:rsidR="00B4714D" w:rsidRPr="004D03C0" w:rsidSect="00093D77">
          <w:pgSz w:w="8391" w:h="11907" w:code="11"/>
          <w:pgMar w:top="851" w:right="1303" w:bottom="1440" w:left="1440" w:header="432" w:footer="432" w:gutter="0"/>
          <w:cols w:space="720"/>
          <w:docGrid w:linePitch="360"/>
        </w:sectPr>
      </w:pPr>
    </w:p>
    <w:p w14:paraId="7B9CC245" w14:textId="77777777" w:rsidR="007D3F72" w:rsidRPr="002F16F6" w:rsidRDefault="007D3F72" w:rsidP="002F16F6">
      <w:pPr>
        <w:ind w:left="-567" w:right="-726"/>
        <w:jc w:val="both"/>
        <w:rPr>
          <w:rFonts w:ascii="Arial" w:hAnsi="Arial" w:cs="Arial"/>
          <w:b/>
          <w:bCs/>
          <w:iCs/>
          <w:sz w:val="20"/>
          <w:szCs w:val="20"/>
          <w:u w:val="single"/>
        </w:rPr>
      </w:pPr>
    </w:p>
    <w:p w14:paraId="47D5C162" w14:textId="40A33D16" w:rsidR="00830E09" w:rsidRDefault="00002AD6" w:rsidP="00830E09">
      <w:pPr>
        <w:spacing w:after="120"/>
        <w:ind w:left="-567" w:right="-726"/>
        <w:jc w:val="both"/>
        <w:rPr>
          <w:rFonts w:ascii="Arial" w:hAnsi="Arial" w:cs="Arial"/>
          <w:b/>
          <w:bCs/>
          <w:iCs/>
          <w:sz w:val="20"/>
          <w:szCs w:val="20"/>
          <w:u w:val="single"/>
        </w:rPr>
      </w:pPr>
      <w:r>
        <w:rPr>
          <w:rFonts w:ascii="Arial" w:hAnsi="Arial"/>
          <w:b/>
          <w:sz w:val="20"/>
          <w:u w:val="single"/>
        </w:rPr>
        <w:t>Qëllimet e përgjithshme të seminarit:</w:t>
      </w:r>
    </w:p>
    <w:p w14:paraId="42B25324" w14:textId="77777777" w:rsidR="00AA3F02" w:rsidRPr="00172572" w:rsidRDefault="00AA3F02" w:rsidP="00AA3F02">
      <w:pPr>
        <w:spacing w:after="120"/>
        <w:ind w:left="-540" w:right="-726"/>
        <w:jc w:val="both"/>
        <w:rPr>
          <w:rFonts w:ascii="Arial" w:hAnsi="Arial" w:cs="Arial"/>
          <w:bCs/>
          <w:iCs/>
          <w:sz w:val="20"/>
          <w:szCs w:val="20"/>
        </w:rPr>
      </w:pPr>
      <w:r>
        <w:rPr>
          <w:rFonts w:ascii="Arial" w:hAnsi="Arial"/>
          <w:sz w:val="20"/>
        </w:rPr>
        <w:t>Pas përfundimit të seminari, pjesëmarrësit do të kenë mundësi:</w:t>
      </w:r>
    </w:p>
    <w:p w14:paraId="4E2C6FA8" w14:textId="77777777" w:rsidR="00AA3F02" w:rsidRPr="00222928" w:rsidRDefault="00AA3F02" w:rsidP="00AA3F02">
      <w:pPr>
        <w:pStyle w:val="ListParagraph"/>
        <w:numPr>
          <w:ilvl w:val="0"/>
          <w:numId w:val="3"/>
        </w:numPr>
        <w:spacing w:after="60"/>
        <w:ind w:left="-540" w:right="-726"/>
        <w:jc w:val="both"/>
        <w:rPr>
          <w:rFonts w:ascii="Arial" w:hAnsi="Arial" w:cs="Arial"/>
          <w:bCs/>
          <w:iCs/>
          <w:sz w:val="20"/>
          <w:szCs w:val="20"/>
        </w:rPr>
      </w:pPr>
      <w:r>
        <w:rPr>
          <w:rFonts w:ascii="Arial" w:hAnsi="Arial"/>
          <w:sz w:val="20"/>
        </w:rPr>
        <w:t>të njihen me të kaluarën, proceset historike, ngjarjet dhe personalitetet që kanë lënë gjurmë në historinë e parlamentarizmit në Maqedoni;</w:t>
      </w:r>
    </w:p>
    <w:p w14:paraId="19C4693C" w14:textId="77777777" w:rsidR="00AA3F02" w:rsidRPr="00222928" w:rsidRDefault="00AA3F02" w:rsidP="00AA3F02">
      <w:pPr>
        <w:pStyle w:val="ListParagraph"/>
        <w:numPr>
          <w:ilvl w:val="0"/>
          <w:numId w:val="3"/>
        </w:numPr>
        <w:spacing w:after="60"/>
        <w:ind w:left="-540" w:right="-726"/>
        <w:jc w:val="both"/>
        <w:rPr>
          <w:rFonts w:ascii="Arial" w:hAnsi="Arial" w:cs="Arial"/>
          <w:bCs/>
          <w:iCs/>
          <w:sz w:val="20"/>
          <w:szCs w:val="20"/>
        </w:rPr>
      </w:pPr>
      <w:r>
        <w:rPr>
          <w:rFonts w:ascii="Arial" w:hAnsi="Arial"/>
          <w:sz w:val="20"/>
        </w:rPr>
        <w:t>të njihen me Rregulloren e Punës së Kuvendit si burim kryesor i të drejtës parlamentare dhe shprehje më e lartë e autonomisë së Kuvendit;</w:t>
      </w:r>
    </w:p>
    <w:p w14:paraId="1F05D72D" w14:textId="77777777" w:rsidR="00AA3F02" w:rsidRPr="00222928" w:rsidRDefault="00AA3F02" w:rsidP="00AA3F02">
      <w:pPr>
        <w:pStyle w:val="ListParagraph"/>
        <w:numPr>
          <w:ilvl w:val="0"/>
          <w:numId w:val="3"/>
        </w:numPr>
        <w:spacing w:after="60"/>
        <w:ind w:left="-540" w:right="-726"/>
        <w:jc w:val="both"/>
        <w:rPr>
          <w:rFonts w:ascii="Arial" w:hAnsi="Arial" w:cs="Arial"/>
          <w:bCs/>
          <w:iCs/>
          <w:sz w:val="20"/>
          <w:szCs w:val="20"/>
        </w:rPr>
      </w:pPr>
      <w:r>
        <w:rPr>
          <w:rFonts w:ascii="Arial" w:hAnsi="Arial"/>
          <w:sz w:val="20"/>
        </w:rPr>
        <w:t>të dinë përbërjen e parlamentit dhe faktorët që ndikojnë në përbërjen dhe strukturën e tij;</w:t>
      </w:r>
    </w:p>
    <w:p w14:paraId="3E1C8B8D" w14:textId="77777777" w:rsidR="00AA3F02" w:rsidRPr="00222928" w:rsidRDefault="00AA3F02" w:rsidP="00AA3F02">
      <w:pPr>
        <w:pStyle w:val="ListParagraph"/>
        <w:numPr>
          <w:ilvl w:val="0"/>
          <w:numId w:val="3"/>
        </w:numPr>
        <w:spacing w:after="60"/>
        <w:ind w:left="-540" w:right="-726"/>
        <w:jc w:val="both"/>
        <w:rPr>
          <w:rFonts w:ascii="Arial" w:hAnsi="Arial" w:cs="Arial"/>
          <w:bCs/>
          <w:iCs/>
          <w:sz w:val="20"/>
          <w:szCs w:val="20"/>
        </w:rPr>
      </w:pPr>
      <w:r>
        <w:rPr>
          <w:rFonts w:ascii="Arial" w:hAnsi="Arial"/>
          <w:sz w:val="20"/>
        </w:rPr>
        <w:t xml:space="preserve">të njihen me statusin e deputetëve, si dhe me natyrën dhe të drejtat që e përcaktojnë statusin e tyre në parlament; </w:t>
      </w:r>
    </w:p>
    <w:p w14:paraId="68226E85" w14:textId="77777777" w:rsidR="00AA3F02" w:rsidRPr="00222928" w:rsidRDefault="00AA3F02" w:rsidP="00AA3F02">
      <w:pPr>
        <w:pStyle w:val="ListParagraph"/>
        <w:numPr>
          <w:ilvl w:val="0"/>
          <w:numId w:val="3"/>
        </w:numPr>
        <w:spacing w:after="60"/>
        <w:ind w:left="-540" w:right="-726"/>
        <w:jc w:val="both"/>
        <w:rPr>
          <w:rFonts w:ascii="Arial" w:hAnsi="Arial" w:cs="Arial"/>
          <w:bCs/>
          <w:iCs/>
          <w:sz w:val="20"/>
          <w:szCs w:val="20"/>
        </w:rPr>
      </w:pPr>
      <w:r>
        <w:rPr>
          <w:rFonts w:ascii="Arial" w:hAnsi="Arial"/>
          <w:sz w:val="20"/>
        </w:rPr>
        <w:t>të identifikojnë organizimin e brendshëm të Kuvendit, të trupave të punës, grupeve të deputetëve, Kryetarit të Kuvendit, si dhe të organeve që udhëheqin me punën parlamentare;</w:t>
      </w:r>
    </w:p>
    <w:p w14:paraId="0BF6DD67" w14:textId="77777777" w:rsidR="00AA3F02" w:rsidRPr="00222928" w:rsidRDefault="00AA3F02" w:rsidP="00AA3F02">
      <w:pPr>
        <w:pStyle w:val="ListParagraph"/>
        <w:numPr>
          <w:ilvl w:val="0"/>
          <w:numId w:val="3"/>
        </w:numPr>
        <w:spacing w:after="60"/>
        <w:ind w:left="-540" w:right="-726"/>
        <w:jc w:val="both"/>
        <w:rPr>
          <w:rFonts w:ascii="Arial" w:hAnsi="Arial" w:cs="Arial"/>
          <w:bCs/>
          <w:iCs/>
          <w:sz w:val="20"/>
          <w:szCs w:val="20"/>
        </w:rPr>
      </w:pPr>
      <w:r>
        <w:rPr>
          <w:rFonts w:ascii="Arial" w:hAnsi="Arial"/>
          <w:sz w:val="20"/>
        </w:rPr>
        <w:t>të kuptojnë kompetencat themelore të parlamentit;</w:t>
      </w:r>
    </w:p>
    <w:p w14:paraId="18988047" w14:textId="77777777" w:rsidR="00AA3F02" w:rsidRPr="000554A9" w:rsidRDefault="00AA3F02" w:rsidP="00AA3F02">
      <w:pPr>
        <w:pStyle w:val="ListParagraph"/>
        <w:numPr>
          <w:ilvl w:val="0"/>
          <w:numId w:val="3"/>
        </w:numPr>
        <w:spacing w:after="60"/>
        <w:ind w:left="-540" w:right="-726"/>
        <w:jc w:val="both"/>
        <w:rPr>
          <w:rFonts w:ascii="Arial" w:hAnsi="Arial" w:cs="Arial"/>
          <w:bCs/>
          <w:iCs/>
          <w:sz w:val="20"/>
          <w:szCs w:val="20"/>
        </w:rPr>
      </w:pPr>
      <w:r>
        <w:rPr>
          <w:rFonts w:ascii="Arial" w:hAnsi="Arial"/>
          <w:sz w:val="20"/>
        </w:rPr>
        <w:t>të dinë fazat e procedurës për miratimin e ligjeve dhe rolin e të gjitha palëve të përfshira në të njëjtën.</w:t>
      </w:r>
    </w:p>
    <w:p w14:paraId="7868054F" w14:textId="57AC0D5F" w:rsidR="00633DED" w:rsidRDefault="00633DED" w:rsidP="00304267">
      <w:pPr>
        <w:pStyle w:val="ListParagraph"/>
        <w:spacing w:before="100" w:beforeAutospacing="1" w:after="100" w:afterAutospacing="1"/>
        <w:ind w:left="-567" w:right="-726"/>
        <w:jc w:val="both"/>
        <w:rPr>
          <w:rFonts w:ascii="Arial" w:hAnsi="Arial" w:cs="Arial"/>
          <w:bCs/>
          <w:iCs/>
          <w:sz w:val="20"/>
          <w:szCs w:val="20"/>
        </w:rPr>
      </w:pPr>
    </w:p>
    <w:p w14:paraId="7E89DCFC" w14:textId="77777777" w:rsidR="00AA3F02" w:rsidRDefault="00AA3F02" w:rsidP="00304267">
      <w:pPr>
        <w:pStyle w:val="ListParagraph"/>
        <w:spacing w:before="100" w:beforeAutospacing="1" w:after="100" w:afterAutospacing="1"/>
        <w:ind w:left="-567" w:right="-726"/>
        <w:jc w:val="both"/>
        <w:rPr>
          <w:rFonts w:ascii="Arial" w:hAnsi="Arial" w:cs="Arial"/>
          <w:bCs/>
          <w:iCs/>
          <w:sz w:val="20"/>
          <w:szCs w:val="20"/>
        </w:rPr>
      </w:pPr>
    </w:p>
    <w:p w14:paraId="60FE9B12" w14:textId="4667DF24" w:rsidR="007D3F72" w:rsidRPr="00304267" w:rsidRDefault="00304267" w:rsidP="00853C0D">
      <w:pPr>
        <w:pStyle w:val="ListParagraph"/>
        <w:ind w:left="-567" w:right="-726"/>
        <w:contextualSpacing w:val="0"/>
        <w:jc w:val="both"/>
        <w:rPr>
          <w:rFonts w:ascii="Arial" w:hAnsi="Arial" w:cs="Arial"/>
          <w:bCs/>
          <w:iCs/>
          <w:sz w:val="20"/>
          <w:szCs w:val="20"/>
        </w:rPr>
      </w:pPr>
      <w:r>
        <w:rPr>
          <w:rFonts w:ascii="Arial" w:hAnsi="Arial"/>
          <w:sz w:val="20"/>
        </w:rPr>
        <w:t>Për arritjen e këtyre qëllimeve, seminari do t’i përfshijë këto përmbajtje:</w:t>
      </w:r>
    </w:p>
    <w:tbl>
      <w:tblPr>
        <w:tblStyle w:val="TableGrid"/>
        <w:tblpPr w:leftFromText="180" w:rightFromText="180" w:vertAnchor="text" w:horzAnchor="margin" w:tblpX="-577" w:tblpY="234"/>
        <w:tblW w:w="6941" w:type="dxa"/>
        <w:tblLayout w:type="fixed"/>
        <w:tblLook w:val="04A0" w:firstRow="1" w:lastRow="0" w:firstColumn="1" w:lastColumn="0" w:noHBand="0" w:noVBand="1"/>
      </w:tblPr>
      <w:tblGrid>
        <w:gridCol w:w="5240"/>
        <w:gridCol w:w="1701"/>
      </w:tblGrid>
      <w:tr w:rsidR="00B4714D" w:rsidRPr="00830E09" w14:paraId="767B286B" w14:textId="77777777" w:rsidTr="00F552F1">
        <w:trPr>
          <w:trHeight w:val="440"/>
        </w:trPr>
        <w:tc>
          <w:tcPr>
            <w:tcW w:w="5240" w:type="dxa"/>
            <w:tcBorders>
              <w:top w:val="double" w:sz="4" w:space="0" w:color="auto"/>
              <w:left w:val="double" w:sz="4" w:space="0" w:color="auto"/>
              <w:bottom w:val="double" w:sz="4" w:space="0" w:color="auto"/>
            </w:tcBorders>
            <w:shd w:val="clear" w:color="auto" w:fill="D0CECE" w:themeFill="background2" w:themeFillShade="E6"/>
          </w:tcPr>
          <w:p w14:paraId="1ABFEBE4" w14:textId="77777777" w:rsidR="00B4714D" w:rsidRPr="00830E09" w:rsidRDefault="00B4714D" w:rsidP="00B4714D">
            <w:pPr>
              <w:spacing w:before="120"/>
              <w:jc w:val="center"/>
              <w:rPr>
                <w:rFonts w:ascii="Arial" w:hAnsi="Arial" w:cs="Arial"/>
                <w:b/>
                <w:bCs/>
                <w:iCs/>
                <w:sz w:val="20"/>
                <w:szCs w:val="20"/>
              </w:rPr>
            </w:pPr>
            <w:r>
              <w:rPr>
                <w:rFonts w:ascii="Arial" w:hAnsi="Arial"/>
                <w:b/>
                <w:sz w:val="20"/>
              </w:rPr>
              <w:t>Përmbajtje</w:t>
            </w:r>
          </w:p>
        </w:tc>
        <w:tc>
          <w:tcPr>
            <w:tcW w:w="1701" w:type="dxa"/>
            <w:tcBorders>
              <w:top w:val="double" w:sz="4" w:space="0" w:color="auto"/>
              <w:bottom w:val="double" w:sz="4" w:space="0" w:color="auto"/>
              <w:right w:val="double" w:sz="4" w:space="0" w:color="auto"/>
            </w:tcBorders>
            <w:shd w:val="clear" w:color="auto" w:fill="D0CECE" w:themeFill="background2" w:themeFillShade="E6"/>
          </w:tcPr>
          <w:p w14:paraId="4FC93ECD" w14:textId="77777777" w:rsidR="00B4714D" w:rsidRPr="00830E09" w:rsidRDefault="00B4714D" w:rsidP="00B4714D">
            <w:pPr>
              <w:spacing w:before="120"/>
              <w:jc w:val="center"/>
              <w:rPr>
                <w:rFonts w:ascii="Arial" w:hAnsi="Arial" w:cs="Arial"/>
                <w:b/>
                <w:bCs/>
                <w:iCs/>
                <w:sz w:val="20"/>
                <w:szCs w:val="20"/>
              </w:rPr>
            </w:pPr>
            <w:r>
              <w:rPr>
                <w:rFonts w:ascii="Arial" w:hAnsi="Arial"/>
                <w:b/>
                <w:sz w:val="20"/>
              </w:rPr>
              <w:t>Kohëzgjatja</w:t>
            </w:r>
          </w:p>
        </w:tc>
      </w:tr>
      <w:tr w:rsidR="00733C03" w:rsidRPr="00830E09" w14:paraId="609D70B4" w14:textId="77777777" w:rsidTr="00516427">
        <w:trPr>
          <w:trHeight w:val="508"/>
        </w:trPr>
        <w:tc>
          <w:tcPr>
            <w:tcW w:w="5240" w:type="dxa"/>
            <w:tcBorders>
              <w:top w:val="double" w:sz="4" w:space="0" w:color="auto"/>
              <w:left w:val="double" w:sz="4" w:space="0" w:color="auto"/>
              <w:bottom w:val="single" w:sz="4" w:space="0" w:color="auto"/>
            </w:tcBorders>
            <w:vAlign w:val="center"/>
          </w:tcPr>
          <w:p w14:paraId="6DCA8AED" w14:textId="44854CF8" w:rsidR="00733C03" w:rsidRPr="00830E09" w:rsidRDefault="00EB6574" w:rsidP="00733C03">
            <w:pPr>
              <w:rPr>
                <w:rFonts w:ascii="Arial" w:hAnsi="Arial" w:cs="Arial"/>
                <w:bCs/>
                <w:iCs/>
                <w:sz w:val="20"/>
                <w:szCs w:val="20"/>
              </w:rPr>
            </w:pPr>
            <w:r>
              <w:rPr>
                <w:rFonts w:ascii="Arial" w:hAnsi="Arial"/>
                <w:sz w:val="20"/>
              </w:rPr>
              <w:t>Vizitë e organizuar në ndërtesën e Kuvendit</w:t>
            </w:r>
          </w:p>
        </w:tc>
        <w:tc>
          <w:tcPr>
            <w:tcW w:w="1701" w:type="dxa"/>
            <w:tcBorders>
              <w:top w:val="double" w:sz="4" w:space="0" w:color="auto"/>
              <w:bottom w:val="single" w:sz="4" w:space="0" w:color="auto"/>
              <w:right w:val="double" w:sz="4" w:space="0" w:color="auto"/>
            </w:tcBorders>
            <w:vAlign w:val="center"/>
          </w:tcPr>
          <w:p w14:paraId="0E40A242" w14:textId="05BB2C7F" w:rsidR="00733C03" w:rsidRPr="00830E09" w:rsidRDefault="00EB6574" w:rsidP="00733C03">
            <w:pPr>
              <w:jc w:val="center"/>
              <w:rPr>
                <w:rFonts w:ascii="Arial" w:hAnsi="Arial" w:cs="Arial"/>
                <w:bCs/>
                <w:iCs/>
                <w:sz w:val="20"/>
                <w:szCs w:val="20"/>
              </w:rPr>
            </w:pPr>
            <w:r>
              <w:rPr>
                <w:rFonts w:ascii="Arial" w:hAnsi="Arial"/>
                <w:sz w:val="20"/>
              </w:rPr>
              <w:t>60 minuta</w:t>
            </w:r>
          </w:p>
        </w:tc>
      </w:tr>
      <w:tr w:rsidR="00733C03" w:rsidRPr="00830E09" w14:paraId="5FBB30B6" w14:textId="77777777" w:rsidTr="00516427">
        <w:trPr>
          <w:trHeight w:val="508"/>
        </w:trPr>
        <w:tc>
          <w:tcPr>
            <w:tcW w:w="5240" w:type="dxa"/>
            <w:tcBorders>
              <w:top w:val="single" w:sz="4" w:space="0" w:color="auto"/>
              <w:left w:val="double" w:sz="4" w:space="0" w:color="auto"/>
            </w:tcBorders>
            <w:vAlign w:val="center"/>
          </w:tcPr>
          <w:p w14:paraId="0901220D" w14:textId="7D00D43B" w:rsidR="00733C03" w:rsidRPr="00830E09" w:rsidRDefault="00007B04" w:rsidP="00733C03">
            <w:pPr>
              <w:rPr>
                <w:rFonts w:ascii="Arial" w:hAnsi="Arial" w:cs="Arial"/>
                <w:bCs/>
                <w:iCs/>
                <w:sz w:val="20"/>
                <w:szCs w:val="20"/>
              </w:rPr>
            </w:pPr>
            <w:r>
              <w:rPr>
                <w:rFonts w:ascii="Arial" w:hAnsi="Arial"/>
                <w:sz w:val="20"/>
              </w:rPr>
              <w:t>Historia e parlamentarizmit në Maqedoni</w:t>
            </w:r>
          </w:p>
        </w:tc>
        <w:tc>
          <w:tcPr>
            <w:tcW w:w="1701" w:type="dxa"/>
            <w:tcBorders>
              <w:top w:val="single" w:sz="4" w:space="0" w:color="auto"/>
              <w:right w:val="double" w:sz="4" w:space="0" w:color="auto"/>
            </w:tcBorders>
            <w:vAlign w:val="center"/>
          </w:tcPr>
          <w:p w14:paraId="0B83F0D7" w14:textId="7CE1BBE1" w:rsidR="00733C03" w:rsidRPr="00830E09" w:rsidRDefault="00EB6574" w:rsidP="00733C03">
            <w:pPr>
              <w:jc w:val="center"/>
              <w:rPr>
                <w:rFonts w:ascii="Arial" w:hAnsi="Arial" w:cs="Arial"/>
                <w:bCs/>
                <w:iCs/>
                <w:sz w:val="20"/>
                <w:szCs w:val="20"/>
              </w:rPr>
            </w:pPr>
            <w:r>
              <w:rPr>
                <w:rFonts w:ascii="Arial" w:hAnsi="Arial"/>
                <w:sz w:val="20"/>
              </w:rPr>
              <w:t>45 minuta</w:t>
            </w:r>
          </w:p>
        </w:tc>
      </w:tr>
      <w:tr w:rsidR="00733C03" w:rsidRPr="00830E09" w14:paraId="127C0467" w14:textId="77777777" w:rsidTr="00516427">
        <w:trPr>
          <w:trHeight w:val="580"/>
        </w:trPr>
        <w:tc>
          <w:tcPr>
            <w:tcW w:w="5240" w:type="dxa"/>
            <w:tcBorders>
              <w:left w:val="double" w:sz="4" w:space="0" w:color="auto"/>
            </w:tcBorders>
            <w:vAlign w:val="center"/>
          </w:tcPr>
          <w:p w14:paraId="19D5DB08" w14:textId="444BD651" w:rsidR="00733C03" w:rsidRPr="00CD0C7E" w:rsidRDefault="00AF7C91" w:rsidP="00733C03">
            <w:pPr>
              <w:rPr>
                <w:rFonts w:ascii="Arial" w:hAnsi="Arial" w:cs="Arial"/>
                <w:sz w:val="20"/>
                <w:szCs w:val="20"/>
              </w:rPr>
            </w:pPr>
            <w:r>
              <w:rPr>
                <w:rFonts w:ascii="Arial" w:hAnsi="Arial"/>
                <w:sz w:val="20"/>
              </w:rPr>
              <w:t>Organizimi dhe funksionimi i Kuvendit</w:t>
            </w:r>
          </w:p>
        </w:tc>
        <w:tc>
          <w:tcPr>
            <w:tcW w:w="1701" w:type="dxa"/>
            <w:tcBorders>
              <w:right w:val="double" w:sz="4" w:space="0" w:color="auto"/>
            </w:tcBorders>
            <w:vAlign w:val="center"/>
          </w:tcPr>
          <w:p w14:paraId="3C4086B1" w14:textId="5F7A94A1" w:rsidR="00733C03" w:rsidRPr="00830E09" w:rsidDel="003F30EE" w:rsidRDefault="00EB6574" w:rsidP="00733C03">
            <w:pPr>
              <w:jc w:val="center"/>
              <w:rPr>
                <w:rFonts w:ascii="Arial" w:hAnsi="Arial" w:cs="Arial"/>
                <w:bCs/>
                <w:iCs/>
                <w:sz w:val="20"/>
                <w:szCs w:val="20"/>
              </w:rPr>
            </w:pPr>
            <w:r>
              <w:rPr>
                <w:rFonts w:ascii="Arial" w:hAnsi="Arial"/>
                <w:sz w:val="20"/>
              </w:rPr>
              <w:t>45 minuta</w:t>
            </w:r>
          </w:p>
        </w:tc>
      </w:tr>
      <w:tr w:rsidR="00733C03" w:rsidRPr="00830E09" w14:paraId="4890E7F2" w14:textId="77777777" w:rsidTr="00516427">
        <w:trPr>
          <w:trHeight w:val="617"/>
        </w:trPr>
        <w:tc>
          <w:tcPr>
            <w:tcW w:w="5240" w:type="dxa"/>
            <w:tcBorders>
              <w:left w:val="double" w:sz="4" w:space="0" w:color="auto"/>
            </w:tcBorders>
            <w:vAlign w:val="center"/>
          </w:tcPr>
          <w:p w14:paraId="3AC19D90" w14:textId="10176EE4" w:rsidR="00733C03" w:rsidRPr="00830E09" w:rsidRDefault="00AF7C91" w:rsidP="00733C03">
            <w:pPr>
              <w:rPr>
                <w:rFonts w:ascii="Arial" w:hAnsi="Arial" w:cs="Arial"/>
                <w:sz w:val="20"/>
                <w:szCs w:val="20"/>
              </w:rPr>
            </w:pPr>
            <w:r>
              <w:rPr>
                <w:rFonts w:ascii="Arial" w:hAnsi="Arial"/>
                <w:sz w:val="20"/>
              </w:rPr>
              <w:t>Pozita juridike e deputetëve</w:t>
            </w:r>
          </w:p>
        </w:tc>
        <w:tc>
          <w:tcPr>
            <w:tcW w:w="1701" w:type="dxa"/>
            <w:tcBorders>
              <w:right w:val="double" w:sz="4" w:space="0" w:color="auto"/>
            </w:tcBorders>
            <w:vAlign w:val="center"/>
          </w:tcPr>
          <w:p w14:paraId="30C6755B" w14:textId="6C840AE4" w:rsidR="00733C03" w:rsidRPr="00830E09" w:rsidDel="003F30EE" w:rsidRDefault="00AF7C91" w:rsidP="00733C03">
            <w:pPr>
              <w:jc w:val="center"/>
              <w:rPr>
                <w:rFonts w:ascii="Arial" w:hAnsi="Arial" w:cs="Arial"/>
                <w:bCs/>
                <w:iCs/>
                <w:sz w:val="20"/>
                <w:szCs w:val="20"/>
              </w:rPr>
            </w:pPr>
            <w:r>
              <w:rPr>
                <w:rFonts w:ascii="Arial" w:hAnsi="Arial"/>
                <w:sz w:val="20"/>
              </w:rPr>
              <w:t>45 minuta</w:t>
            </w:r>
          </w:p>
        </w:tc>
      </w:tr>
      <w:tr w:rsidR="00733C03" w:rsidRPr="00830E09" w14:paraId="4D9815AE" w14:textId="77777777" w:rsidTr="00516427">
        <w:trPr>
          <w:trHeight w:val="522"/>
        </w:trPr>
        <w:tc>
          <w:tcPr>
            <w:tcW w:w="5240" w:type="dxa"/>
            <w:tcBorders>
              <w:left w:val="double" w:sz="4" w:space="0" w:color="auto"/>
            </w:tcBorders>
            <w:vAlign w:val="center"/>
          </w:tcPr>
          <w:p w14:paraId="7A1EF81E" w14:textId="70E4D57D" w:rsidR="00733C03" w:rsidRPr="00830E09" w:rsidRDefault="00AF7C91" w:rsidP="00733C03">
            <w:pPr>
              <w:rPr>
                <w:rFonts w:ascii="Arial" w:hAnsi="Arial" w:cs="Arial"/>
                <w:bCs/>
                <w:iCs/>
                <w:sz w:val="20"/>
                <w:szCs w:val="20"/>
              </w:rPr>
            </w:pPr>
            <w:r>
              <w:rPr>
                <w:rFonts w:ascii="Arial" w:hAnsi="Arial"/>
                <w:sz w:val="20"/>
              </w:rPr>
              <w:t>Funksionet themelore të parlamentit dhe procedura e miratimit të ligjeve</w:t>
            </w:r>
          </w:p>
        </w:tc>
        <w:tc>
          <w:tcPr>
            <w:tcW w:w="1701" w:type="dxa"/>
            <w:tcBorders>
              <w:right w:val="double" w:sz="4" w:space="0" w:color="auto"/>
            </w:tcBorders>
            <w:vAlign w:val="center"/>
          </w:tcPr>
          <w:p w14:paraId="11218280" w14:textId="2C39BAB2" w:rsidR="00733C03" w:rsidRPr="00830E09" w:rsidDel="003F30EE" w:rsidRDefault="00AF7C91" w:rsidP="00733C03">
            <w:pPr>
              <w:jc w:val="center"/>
              <w:rPr>
                <w:rFonts w:ascii="Arial" w:hAnsi="Arial" w:cs="Arial"/>
                <w:bCs/>
                <w:iCs/>
                <w:sz w:val="20"/>
                <w:szCs w:val="20"/>
              </w:rPr>
            </w:pPr>
            <w:r>
              <w:rPr>
                <w:rFonts w:ascii="Arial" w:hAnsi="Arial"/>
                <w:sz w:val="20"/>
              </w:rPr>
              <w:t>45 minuta</w:t>
            </w:r>
          </w:p>
        </w:tc>
      </w:tr>
      <w:tr w:rsidR="00B4714D" w:rsidRPr="00830E09" w14:paraId="347BD6D6" w14:textId="77777777" w:rsidTr="00516427">
        <w:trPr>
          <w:trHeight w:val="572"/>
        </w:trPr>
        <w:tc>
          <w:tcPr>
            <w:tcW w:w="5240" w:type="dxa"/>
            <w:tcBorders>
              <w:left w:val="double" w:sz="4" w:space="0" w:color="auto"/>
              <w:bottom w:val="double" w:sz="4" w:space="0" w:color="auto"/>
            </w:tcBorders>
            <w:vAlign w:val="center"/>
          </w:tcPr>
          <w:p w14:paraId="6C3E10CD" w14:textId="08565D9B" w:rsidR="00B4714D" w:rsidRPr="00830E09" w:rsidRDefault="00EB6574" w:rsidP="00516427">
            <w:pPr>
              <w:rPr>
                <w:rFonts w:ascii="Arial" w:hAnsi="Arial" w:cs="Arial"/>
                <w:bCs/>
                <w:iCs/>
                <w:sz w:val="20"/>
                <w:szCs w:val="20"/>
              </w:rPr>
            </w:pPr>
            <w:r>
              <w:rPr>
                <w:rFonts w:ascii="Arial" w:hAnsi="Arial"/>
                <w:sz w:val="20"/>
              </w:rPr>
              <w:t>Vlerësimi dhe dhënia e certifikatave për pjesëmarrje në këtë seminar</w:t>
            </w:r>
          </w:p>
        </w:tc>
        <w:tc>
          <w:tcPr>
            <w:tcW w:w="1701" w:type="dxa"/>
            <w:tcBorders>
              <w:bottom w:val="double" w:sz="4" w:space="0" w:color="auto"/>
              <w:right w:val="double" w:sz="4" w:space="0" w:color="auto"/>
            </w:tcBorders>
            <w:vAlign w:val="center"/>
          </w:tcPr>
          <w:p w14:paraId="24177F50" w14:textId="50159C41" w:rsidR="00B4714D" w:rsidRPr="00830E09" w:rsidRDefault="00EB6574" w:rsidP="00516427">
            <w:pPr>
              <w:jc w:val="center"/>
              <w:rPr>
                <w:rFonts w:ascii="Arial" w:hAnsi="Arial" w:cs="Arial"/>
                <w:bCs/>
                <w:iCs/>
                <w:sz w:val="20"/>
                <w:szCs w:val="20"/>
              </w:rPr>
            </w:pPr>
            <w:r>
              <w:rPr>
                <w:rFonts w:ascii="Arial" w:hAnsi="Arial"/>
                <w:sz w:val="20"/>
              </w:rPr>
              <w:t>15 minuta</w:t>
            </w:r>
          </w:p>
        </w:tc>
      </w:tr>
    </w:tbl>
    <w:p w14:paraId="49EA600D" w14:textId="77777777" w:rsidR="0004573D" w:rsidRPr="00830E09" w:rsidRDefault="00000000" w:rsidP="00274F5A">
      <w:pPr>
        <w:tabs>
          <w:tab w:val="left" w:pos="5745"/>
        </w:tabs>
        <w:rPr>
          <w:rFonts w:ascii="Arial" w:hAnsi="Arial" w:cs="Arial"/>
          <w:sz w:val="20"/>
          <w:szCs w:val="20"/>
        </w:rPr>
      </w:pPr>
    </w:p>
    <w:sectPr w:rsidR="0004573D" w:rsidRPr="00830E09" w:rsidSect="00093D77">
      <w:pgSz w:w="8391" w:h="11907" w:code="11"/>
      <w:pgMar w:top="568" w:right="1440" w:bottom="709"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8BAF" w14:textId="77777777" w:rsidR="00FB27E0" w:rsidRDefault="00FB27E0" w:rsidP="001274FA">
      <w:r>
        <w:separator/>
      </w:r>
    </w:p>
  </w:endnote>
  <w:endnote w:type="continuationSeparator" w:id="0">
    <w:p w14:paraId="35B9C446" w14:textId="77777777" w:rsidR="00FB27E0" w:rsidRDefault="00FB27E0" w:rsidP="0012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500896"/>
      <w:docPartObj>
        <w:docPartGallery w:val="Page Numbers (Bottom of Page)"/>
        <w:docPartUnique/>
      </w:docPartObj>
    </w:sdtPr>
    <w:sdtContent>
      <w:p w14:paraId="37DC7931" w14:textId="77777777" w:rsidR="00093D77" w:rsidRDefault="00093D77">
        <w:pPr>
          <w:pStyle w:val="Footer"/>
          <w:jc w:val="center"/>
        </w:pPr>
        <w:r>
          <w:rPr>
            <w:noProof/>
          </w:rPr>
          <mc:AlternateContent>
            <mc:Choice Requires="wpg">
              <w:drawing>
                <wp:inline distT="0" distB="0" distL="0" distR="0" wp14:anchorId="3A6B3676" wp14:editId="3E150EE1">
                  <wp:extent cx="418465" cy="221615"/>
                  <wp:effectExtent l="0" t="0" r="635" b="698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1"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A88D" w14:textId="66F69251" w:rsidR="00093D77" w:rsidRDefault="00093D77">
                                <w:pPr>
                                  <w:jc w:val="center"/>
                                  <w:rPr>
                                    <w:szCs w:val="18"/>
                                  </w:rPr>
                                </w:pPr>
                                <w:r>
                                  <w:rPr>
                                    <w:sz w:val="22"/>
                                  </w:rPr>
                                  <w:fldChar w:fldCharType="begin"/>
                                </w:r>
                                <w:r>
                                  <w:instrText xml:space="preserve"> PAGE    \* MERGEFORMAT </w:instrText>
                                </w:r>
                                <w:r>
                                  <w:rPr>
                                    <w:sz w:val="22"/>
                                  </w:rPr>
                                  <w:fldChar w:fldCharType="separate"/>
                                </w:r>
                                <w:r w:rsidR="003606AD" w:rsidRPr="003606AD">
                                  <w:rPr>
                                    <w:i/>
                                    <w:sz w:val="18"/>
                                  </w:rPr>
                                  <w:t>2</w:t>
                                </w:r>
                                <w:r>
                                  <w:rPr>
                                    <w:i/>
                                    <w:sz w:val="18"/>
                                  </w:rPr>
                                  <w:fldChar w:fldCharType="end"/>
                                </w:r>
                              </w:p>
                            </w:txbxContent>
                          </wps:txbx>
                          <wps:bodyPr rot="0" vert="horz" wrap="square" lIns="0" tIns="0" rIns="0" bIns="0" anchor="ctr" anchorCtr="0" upright="1">
                            <a:noAutofit/>
                          </wps:bodyPr>
                        </wps:wsp>
                        <wpg:grpSp>
                          <wpg:cNvPr id="12" name="Group 64"/>
                          <wpg:cNvGrpSpPr>
                            <a:grpSpLocks/>
                          </wpg:cNvGrpSpPr>
                          <wpg:grpSpPr bwMode="auto">
                            <a:xfrm>
                              <a:off x="5494" y="739"/>
                              <a:ext cx="372" cy="72"/>
                              <a:chOff x="5486" y="739"/>
                              <a:chExt cx="372" cy="72"/>
                            </a:xfrm>
                          </wpg:grpSpPr>
                          <wps:wsp>
                            <wps:cNvPr id="13" name="Oval 65"/>
                            <wps:cNvSpPr>
                              <a:spLocks noChangeArrowheads="1"/>
                            </wps:cNvSpPr>
                            <wps:spPr bwMode="auto">
                              <a:xfrm>
                                <a:off x="5486" y="739"/>
                                <a:ext cx="72" cy="72"/>
                              </a:xfrm>
                              <a:prstGeom prst="ellipse">
                                <a:avLst/>
                              </a:pr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66"/>
                            <wps:cNvSpPr>
                              <a:spLocks noChangeArrowheads="1"/>
                            </wps:cNvSpPr>
                            <wps:spPr bwMode="auto">
                              <a:xfrm>
                                <a:off x="5636" y="739"/>
                                <a:ext cx="72" cy="72"/>
                              </a:xfrm>
                              <a:prstGeom prst="ellipse">
                                <a:avLst/>
                              </a:pr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67"/>
                            <wps:cNvSpPr>
                              <a:spLocks noChangeArrowheads="1"/>
                            </wps:cNvSpPr>
                            <wps:spPr bwMode="auto">
                              <a:xfrm>
                                <a:off x="5786" y="739"/>
                                <a:ext cx="72" cy="72"/>
                              </a:xfrm>
                              <a:prstGeom prst="ellipse">
                                <a:avLst/>
                              </a:pr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A6B3676" id="Group 10"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48E8A88D" w14:textId="66F69251" w:rsidR="00093D77" w:rsidRDefault="00093D77">
                          <w:pPr>
                            <w:jc w:val="center"/>
                            <w:rPr>
                              <w:szCs w:val="18"/>
                            </w:rPr>
                          </w:pPr>
                          <w:r>
                            <w:rPr>
                              <w:sz w:val="22"/>
                            </w:rPr>
                            <w:fldChar w:fldCharType="begin"/>
                          </w:r>
                          <w:r>
                            <w:instrText xml:space="preserve"> PAGE    \* MERGEFORMAT </w:instrText>
                          </w:r>
                          <w:r>
                            <w:rPr>
                              <w:sz w:val="22"/>
                            </w:rPr>
                            <w:fldChar w:fldCharType="separate"/>
                          </w:r>
                          <w:r w:rsidR="003606AD" w:rsidRPr="003606AD">
                            <w:rPr>
                              <w:i/>
                              <w:sz w:val="18"/>
                            </w:rPr>
                            <w:t>2</w:t>
                          </w:r>
                          <w:r>
                            <w:rPr>
                              <w:i/>
                              <w:sz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" fillcolor="#393737 [814]"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" fillcolor="#393737 [814]"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" fillcolor="#393737 [814]" stroked="f"/>
                  </v:group>
                  <w10:anchorlock/>
                </v:group>
              </w:pict>
            </mc:Fallback>
          </mc:AlternateContent>
        </w:r>
      </w:p>
    </w:sdtContent>
  </w:sdt>
  <w:p w14:paraId="202226F1" w14:textId="77777777" w:rsidR="000A538F" w:rsidRDefault="000A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628CA" w14:textId="77777777" w:rsidR="00FB27E0" w:rsidRDefault="00FB27E0" w:rsidP="001274FA">
      <w:r>
        <w:separator/>
      </w:r>
    </w:p>
  </w:footnote>
  <w:footnote w:type="continuationSeparator" w:id="0">
    <w:p w14:paraId="556C6A19" w14:textId="77777777" w:rsidR="00FB27E0" w:rsidRDefault="00FB27E0" w:rsidP="0012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AD43" w14:textId="52464FD4" w:rsidR="000A538F" w:rsidRDefault="000A538F" w:rsidP="000A538F">
    <w:pPr>
      <w:pStyle w:val="Header"/>
      <w:tabs>
        <w:tab w:val="left" w:pos="90"/>
        <w:tab w:val="left" w:pos="6193"/>
      </w:tabs>
      <w:ind w:left="-720"/>
      <w:jc w:val="center"/>
    </w:pPr>
    <w:r>
      <w:t>Instituti Parlamentar</w:t>
    </w:r>
  </w:p>
  <w:p w14:paraId="7BB092E9" w14:textId="6E715AC5" w:rsidR="001A22F2" w:rsidRPr="00E700EA" w:rsidRDefault="001A22F2" w:rsidP="000A538F">
    <w:pPr>
      <w:pStyle w:val="Header"/>
      <w:tabs>
        <w:tab w:val="left" w:pos="90"/>
        <w:tab w:val="left" w:pos="6193"/>
      </w:tabs>
      <w:ind w:left="-720"/>
      <w:jc w:val="center"/>
      <w:rPr>
        <w:rFonts w:ascii="Arial" w:hAnsi="Arial" w:cs="Arial"/>
        <w:sz w:val="18"/>
        <w:szCs w:val="18"/>
      </w:rPr>
    </w:pPr>
    <w:r>
      <w:rPr>
        <w:rFonts w:ascii="Arial" w:hAnsi="Arial"/>
        <w:noProof/>
        <w:sz w:val="18"/>
      </w:rPr>
      <mc:AlternateContent>
        <mc:Choice Requires="wps">
          <w:drawing>
            <wp:anchor distT="0" distB="0" distL="114300" distR="114300" simplePos="0" relativeHeight="251659264" behindDoc="0" locked="0" layoutInCell="1" allowOverlap="1" wp14:anchorId="3B655D9D" wp14:editId="0DB42C4F">
              <wp:simplePos x="0" y="0"/>
              <wp:positionH relativeFrom="margin">
                <wp:align>right</wp:align>
              </wp:positionH>
              <wp:positionV relativeFrom="paragraph">
                <wp:posOffset>34290</wp:posOffset>
              </wp:positionV>
              <wp:extent cx="44100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4410075" cy="9525"/>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2CB7F" id="Straight Connector 9"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296.05pt,2.7pt" to="643.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" strokecolor="#393737 [8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56179"/>
    <w:multiLevelType w:val="hybridMultilevel"/>
    <w:tmpl w:val="72C449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54D8386A"/>
    <w:multiLevelType w:val="hybridMultilevel"/>
    <w:tmpl w:val="8752BABA"/>
    <w:lvl w:ilvl="0" w:tplc="F8AC9EE0">
      <w:start w:val="3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7F147C99"/>
    <w:multiLevelType w:val="hybridMultilevel"/>
    <w:tmpl w:val="90EAE2DA"/>
    <w:lvl w:ilvl="0" w:tplc="F5566E7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403819">
    <w:abstractNumId w:val="2"/>
  </w:num>
  <w:num w:numId="2" w16cid:durableId="1908569262">
    <w:abstractNumId w:val="1"/>
  </w:num>
  <w:num w:numId="3" w16cid:durableId="176491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33"/>
    <w:rsid w:val="00002724"/>
    <w:rsid w:val="00002AD6"/>
    <w:rsid w:val="00006925"/>
    <w:rsid w:val="00007B04"/>
    <w:rsid w:val="00007D67"/>
    <w:rsid w:val="000178BE"/>
    <w:rsid w:val="00024CF9"/>
    <w:rsid w:val="00024F20"/>
    <w:rsid w:val="0003186E"/>
    <w:rsid w:val="00033249"/>
    <w:rsid w:val="00035113"/>
    <w:rsid w:val="0004047F"/>
    <w:rsid w:val="00042277"/>
    <w:rsid w:val="000642DB"/>
    <w:rsid w:val="00072F31"/>
    <w:rsid w:val="000740BF"/>
    <w:rsid w:val="00077C46"/>
    <w:rsid w:val="000824BA"/>
    <w:rsid w:val="000878C8"/>
    <w:rsid w:val="00093D77"/>
    <w:rsid w:val="000A1EFB"/>
    <w:rsid w:val="000A538F"/>
    <w:rsid w:val="000B0323"/>
    <w:rsid w:val="000B0C74"/>
    <w:rsid w:val="000C1F43"/>
    <w:rsid w:val="000C372C"/>
    <w:rsid w:val="000C4702"/>
    <w:rsid w:val="000D7589"/>
    <w:rsid w:val="000D7650"/>
    <w:rsid w:val="000D799A"/>
    <w:rsid w:val="000E0736"/>
    <w:rsid w:val="000E4DDB"/>
    <w:rsid w:val="000F02A2"/>
    <w:rsid w:val="0010205E"/>
    <w:rsid w:val="001071CB"/>
    <w:rsid w:val="00123A96"/>
    <w:rsid w:val="00124BD5"/>
    <w:rsid w:val="00125D5D"/>
    <w:rsid w:val="001274FA"/>
    <w:rsid w:val="00142CB4"/>
    <w:rsid w:val="0014428D"/>
    <w:rsid w:val="00144A33"/>
    <w:rsid w:val="001615FF"/>
    <w:rsid w:val="00161C6E"/>
    <w:rsid w:val="0016201B"/>
    <w:rsid w:val="0016213D"/>
    <w:rsid w:val="001705C0"/>
    <w:rsid w:val="00187DD1"/>
    <w:rsid w:val="00191225"/>
    <w:rsid w:val="00191D22"/>
    <w:rsid w:val="001953F0"/>
    <w:rsid w:val="001A1398"/>
    <w:rsid w:val="001A22F2"/>
    <w:rsid w:val="001A43A0"/>
    <w:rsid w:val="001B3D77"/>
    <w:rsid w:val="001C4ABE"/>
    <w:rsid w:val="001D210F"/>
    <w:rsid w:val="001D2EC2"/>
    <w:rsid w:val="001D515D"/>
    <w:rsid w:val="001D68A3"/>
    <w:rsid w:val="001F07DF"/>
    <w:rsid w:val="001F25E0"/>
    <w:rsid w:val="002210EA"/>
    <w:rsid w:val="002237DE"/>
    <w:rsid w:val="00231719"/>
    <w:rsid w:val="00233A8D"/>
    <w:rsid w:val="0023509F"/>
    <w:rsid w:val="00240E2F"/>
    <w:rsid w:val="0024104F"/>
    <w:rsid w:val="00242339"/>
    <w:rsid w:val="00244C04"/>
    <w:rsid w:val="002506BD"/>
    <w:rsid w:val="00265357"/>
    <w:rsid w:val="00266DDF"/>
    <w:rsid w:val="00266F9B"/>
    <w:rsid w:val="00273FA9"/>
    <w:rsid w:val="00274F5A"/>
    <w:rsid w:val="00277F0C"/>
    <w:rsid w:val="00280F02"/>
    <w:rsid w:val="00281CE2"/>
    <w:rsid w:val="002832F3"/>
    <w:rsid w:val="00285DBA"/>
    <w:rsid w:val="00286341"/>
    <w:rsid w:val="00291351"/>
    <w:rsid w:val="002A5569"/>
    <w:rsid w:val="002A6E62"/>
    <w:rsid w:val="002B0021"/>
    <w:rsid w:val="002B072B"/>
    <w:rsid w:val="002B0DBC"/>
    <w:rsid w:val="002B1F14"/>
    <w:rsid w:val="002C0033"/>
    <w:rsid w:val="002C1A37"/>
    <w:rsid w:val="002E0DB6"/>
    <w:rsid w:val="002E1396"/>
    <w:rsid w:val="002E3651"/>
    <w:rsid w:val="002E63FB"/>
    <w:rsid w:val="002E6862"/>
    <w:rsid w:val="002F16F6"/>
    <w:rsid w:val="002F2C0E"/>
    <w:rsid w:val="00301BC1"/>
    <w:rsid w:val="00304267"/>
    <w:rsid w:val="003115BA"/>
    <w:rsid w:val="00326D18"/>
    <w:rsid w:val="00334D9A"/>
    <w:rsid w:val="0033665E"/>
    <w:rsid w:val="00336EB9"/>
    <w:rsid w:val="00343E08"/>
    <w:rsid w:val="00354411"/>
    <w:rsid w:val="003573D2"/>
    <w:rsid w:val="003606AD"/>
    <w:rsid w:val="003634E8"/>
    <w:rsid w:val="003669C4"/>
    <w:rsid w:val="00371376"/>
    <w:rsid w:val="003870CD"/>
    <w:rsid w:val="003903D0"/>
    <w:rsid w:val="003917B2"/>
    <w:rsid w:val="003A0D45"/>
    <w:rsid w:val="003A4231"/>
    <w:rsid w:val="003A5445"/>
    <w:rsid w:val="003A678A"/>
    <w:rsid w:val="003B23AE"/>
    <w:rsid w:val="003B6DC2"/>
    <w:rsid w:val="003C1DA3"/>
    <w:rsid w:val="003C3DB8"/>
    <w:rsid w:val="003D12A7"/>
    <w:rsid w:val="003D7F22"/>
    <w:rsid w:val="003F2C58"/>
    <w:rsid w:val="003F30EE"/>
    <w:rsid w:val="003F3D0F"/>
    <w:rsid w:val="003F6235"/>
    <w:rsid w:val="0040070E"/>
    <w:rsid w:val="0041288D"/>
    <w:rsid w:val="004231EF"/>
    <w:rsid w:val="00424280"/>
    <w:rsid w:val="004432A6"/>
    <w:rsid w:val="004439E1"/>
    <w:rsid w:val="00444492"/>
    <w:rsid w:val="00446C59"/>
    <w:rsid w:val="00460199"/>
    <w:rsid w:val="00461ED5"/>
    <w:rsid w:val="00476FA3"/>
    <w:rsid w:val="004776A4"/>
    <w:rsid w:val="00477E4D"/>
    <w:rsid w:val="00483618"/>
    <w:rsid w:val="00483DA8"/>
    <w:rsid w:val="004A22BE"/>
    <w:rsid w:val="004A5C96"/>
    <w:rsid w:val="004A75E4"/>
    <w:rsid w:val="004B1429"/>
    <w:rsid w:val="004B2B36"/>
    <w:rsid w:val="004B4FA6"/>
    <w:rsid w:val="004C12E8"/>
    <w:rsid w:val="004C33BF"/>
    <w:rsid w:val="004C5628"/>
    <w:rsid w:val="004C6D31"/>
    <w:rsid w:val="004D03C0"/>
    <w:rsid w:val="004D0D0F"/>
    <w:rsid w:val="004D1AFE"/>
    <w:rsid w:val="004D2F85"/>
    <w:rsid w:val="004D77A4"/>
    <w:rsid w:val="004E5153"/>
    <w:rsid w:val="004E5606"/>
    <w:rsid w:val="004E79D9"/>
    <w:rsid w:val="004F2C7B"/>
    <w:rsid w:val="004F58B0"/>
    <w:rsid w:val="005049B4"/>
    <w:rsid w:val="0050531A"/>
    <w:rsid w:val="005130FE"/>
    <w:rsid w:val="00516427"/>
    <w:rsid w:val="00523B2A"/>
    <w:rsid w:val="005303C7"/>
    <w:rsid w:val="00531B5F"/>
    <w:rsid w:val="00545F90"/>
    <w:rsid w:val="0055023A"/>
    <w:rsid w:val="005520F4"/>
    <w:rsid w:val="005561C4"/>
    <w:rsid w:val="005565C1"/>
    <w:rsid w:val="00560B09"/>
    <w:rsid w:val="00563B77"/>
    <w:rsid w:val="005648FE"/>
    <w:rsid w:val="005702A2"/>
    <w:rsid w:val="0057690F"/>
    <w:rsid w:val="00580AEE"/>
    <w:rsid w:val="0058288A"/>
    <w:rsid w:val="0059060F"/>
    <w:rsid w:val="00593C30"/>
    <w:rsid w:val="005A57EF"/>
    <w:rsid w:val="005C748B"/>
    <w:rsid w:val="005E01BC"/>
    <w:rsid w:val="005E3AD2"/>
    <w:rsid w:val="005E5D4C"/>
    <w:rsid w:val="005F6264"/>
    <w:rsid w:val="0060187C"/>
    <w:rsid w:val="006114BD"/>
    <w:rsid w:val="00615F26"/>
    <w:rsid w:val="00623FA9"/>
    <w:rsid w:val="00631AE5"/>
    <w:rsid w:val="00633DED"/>
    <w:rsid w:val="00635778"/>
    <w:rsid w:val="00635B20"/>
    <w:rsid w:val="00635DC0"/>
    <w:rsid w:val="00643E7E"/>
    <w:rsid w:val="00646420"/>
    <w:rsid w:val="00646E74"/>
    <w:rsid w:val="00653402"/>
    <w:rsid w:val="00654904"/>
    <w:rsid w:val="00656970"/>
    <w:rsid w:val="00662DFE"/>
    <w:rsid w:val="00663B7E"/>
    <w:rsid w:val="006704FC"/>
    <w:rsid w:val="00670B65"/>
    <w:rsid w:val="006742D3"/>
    <w:rsid w:val="0068612D"/>
    <w:rsid w:val="0068632E"/>
    <w:rsid w:val="0069278D"/>
    <w:rsid w:val="006948A4"/>
    <w:rsid w:val="00694C11"/>
    <w:rsid w:val="006975F1"/>
    <w:rsid w:val="006A1B3F"/>
    <w:rsid w:val="006B1FE1"/>
    <w:rsid w:val="006B7451"/>
    <w:rsid w:val="006E2E49"/>
    <w:rsid w:val="006E336F"/>
    <w:rsid w:val="006F482C"/>
    <w:rsid w:val="006F5C37"/>
    <w:rsid w:val="007141D7"/>
    <w:rsid w:val="007330A3"/>
    <w:rsid w:val="00733210"/>
    <w:rsid w:val="00733C03"/>
    <w:rsid w:val="00734B4F"/>
    <w:rsid w:val="007409DD"/>
    <w:rsid w:val="00744622"/>
    <w:rsid w:val="00751C37"/>
    <w:rsid w:val="00755C61"/>
    <w:rsid w:val="00761DA3"/>
    <w:rsid w:val="00761E98"/>
    <w:rsid w:val="0076365C"/>
    <w:rsid w:val="00771387"/>
    <w:rsid w:val="007745B7"/>
    <w:rsid w:val="00786448"/>
    <w:rsid w:val="0079180E"/>
    <w:rsid w:val="00791F5E"/>
    <w:rsid w:val="00796274"/>
    <w:rsid w:val="007A33C7"/>
    <w:rsid w:val="007A46C7"/>
    <w:rsid w:val="007B6989"/>
    <w:rsid w:val="007C1671"/>
    <w:rsid w:val="007C5045"/>
    <w:rsid w:val="007C6CFB"/>
    <w:rsid w:val="007C7585"/>
    <w:rsid w:val="007D0BE9"/>
    <w:rsid w:val="007D1DAF"/>
    <w:rsid w:val="007D3F72"/>
    <w:rsid w:val="007D544C"/>
    <w:rsid w:val="007E3C21"/>
    <w:rsid w:val="007F0CBD"/>
    <w:rsid w:val="007F1254"/>
    <w:rsid w:val="00802743"/>
    <w:rsid w:val="00806C96"/>
    <w:rsid w:val="00806D4B"/>
    <w:rsid w:val="00812A9C"/>
    <w:rsid w:val="00813524"/>
    <w:rsid w:val="00822830"/>
    <w:rsid w:val="00825718"/>
    <w:rsid w:val="00830E09"/>
    <w:rsid w:val="00847314"/>
    <w:rsid w:val="00853C0D"/>
    <w:rsid w:val="00862E1D"/>
    <w:rsid w:val="00865832"/>
    <w:rsid w:val="008725DB"/>
    <w:rsid w:val="00875645"/>
    <w:rsid w:val="008804BB"/>
    <w:rsid w:val="0088615E"/>
    <w:rsid w:val="008A116C"/>
    <w:rsid w:val="008A5993"/>
    <w:rsid w:val="008A7EA4"/>
    <w:rsid w:val="008B2686"/>
    <w:rsid w:val="008B7160"/>
    <w:rsid w:val="008C66C2"/>
    <w:rsid w:val="008E0FB9"/>
    <w:rsid w:val="008E5A05"/>
    <w:rsid w:val="00910624"/>
    <w:rsid w:val="00912C9E"/>
    <w:rsid w:val="00915B45"/>
    <w:rsid w:val="009165F4"/>
    <w:rsid w:val="00917B04"/>
    <w:rsid w:val="009313DD"/>
    <w:rsid w:val="00932FF3"/>
    <w:rsid w:val="00936E09"/>
    <w:rsid w:val="009468A1"/>
    <w:rsid w:val="00947637"/>
    <w:rsid w:val="009537FE"/>
    <w:rsid w:val="009665F3"/>
    <w:rsid w:val="00972492"/>
    <w:rsid w:val="009738AA"/>
    <w:rsid w:val="009751FD"/>
    <w:rsid w:val="009752E4"/>
    <w:rsid w:val="00980CC6"/>
    <w:rsid w:val="00981E8D"/>
    <w:rsid w:val="00983C2D"/>
    <w:rsid w:val="00997968"/>
    <w:rsid w:val="009A651A"/>
    <w:rsid w:val="009A7970"/>
    <w:rsid w:val="009B27C1"/>
    <w:rsid w:val="009C208B"/>
    <w:rsid w:val="009C68B9"/>
    <w:rsid w:val="009D51BA"/>
    <w:rsid w:val="009F083F"/>
    <w:rsid w:val="00A10125"/>
    <w:rsid w:val="00A17139"/>
    <w:rsid w:val="00A2514E"/>
    <w:rsid w:val="00A30E13"/>
    <w:rsid w:val="00A3177E"/>
    <w:rsid w:val="00A320DF"/>
    <w:rsid w:val="00A326A4"/>
    <w:rsid w:val="00A37AE9"/>
    <w:rsid w:val="00A41069"/>
    <w:rsid w:val="00A601DF"/>
    <w:rsid w:val="00A67F3B"/>
    <w:rsid w:val="00A74377"/>
    <w:rsid w:val="00A809F1"/>
    <w:rsid w:val="00A8242C"/>
    <w:rsid w:val="00A82A49"/>
    <w:rsid w:val="00A851BD"/>
    <w:rsid w:val="00A86292"/>
    <w:rsid w:val="00A95EE6"/>
    <w:rsid w:val="00AA07FA"/>
    <w:rsid w:val="00AA3F02"/>
    <w:rsid w:val="00AA4EC9"/>
    <w:rsid w:val="00AB3F11"/>
    <w:rsid w:val="00AC16D1"/>
    <w:rsid w:val="00AC3510"/>
    <w:rsid w:val="00AC776F"/>
    <w:rsid w:val="00AD1987"/>
    <w:rsid w:val="00AD5FEA"/>
    <w:rsid w:val="00AF390F"/>
    <w:rsid w:val="00AF3CE8"/>
    <w:rsid w:val="00AF7C91"/>
    <w:rsid w:val="00B0597F"/>
    <w:rsid w:val="00B05E28"/>
    <w:rsid w:val="00B0647C"/>
    <w:rsid w:val="00B10533"/>
    <w:rsid w:val="00B1571B"/>
    <w:rsid w:val="00B163FA"/>
    <w:rsid w:val="00B268D4"/>
    <w:rsid w:val="00B319A3"/>
    <w:rsid w:val="00B36E70"/>
    <w:rsid w:val="00B4318B"/>
    <w:rsid w:val="00B44968"/>
    <w:rsid w:val="00B4714D"/>
    <w:rsid w:val="00B47F53"/>
    <w:rsid w:val="00B52F59"/>
    <w:rsid w:val="00B564F1"/>
    <w:rsid w:val="00B718AA"/>
    <w:rsid w:val="00B7235F"/>
    <w:rsid w:val="00B72DC6"/>
    <w:rsid w:val="00B750DD"/>
    <w:rsid w:val="00B75FF5"/>
    <w:rsid w:val="00B84B6D"/>
    <w:rsid w:val="00BA64A4"/>
    <w:rsid w:val="00BC06AA"/>
    <w:rsid w:val="00BC43A6"/>
    <w:rsid w:val="00BC67D9"/>
    <w:rsid w:val="00BD5F71"/>
    <w:rsid w:val="00BD649C"/>
    <w:rsid w:val="00BD7055"/>
    <w:rsid w:val="00BE00D9"/>
    <w:rsid w:val="00BE6028"/>
    <w:rsid w:val="00BF75B2"/>
    <w:rsid w:val="00C0207A"/>
    <w:rsid w:val="00C05BE6"/>
    <w:rsid w:val="00C11D7C"/>
    <w:rsid w:val="00C135AB"/>
    <w:rsid w:val="00C16012"/>
    <w:rsid w:val="00C213B1"/>
    <w:rsid w:val="00C264AF"/>
    <w:rsid w:val="00C32808"/>
    <w:rsid w:val="00C32A80"/>
    <w:rsid w:val="00C414F7"/>
    <w:rsid w:val="00C44DC2"/>
    <w:rsid w:val="00C45AA7"/>
    <w:rsid w:val="00C542A8"/>
    <w:rsid w:val="00C54BD1"/>
    <w:rsid w:val="00C57BE3"/>
    <w:rsid w:val="00C60BBF"/>
    <w:rsid w:val="00C625DB"/>
    <w:rsid w:val="00C707DB"/>
    <w:rsid w:val="00C85586"/>
    <w:rsid w:val="00C907DD"/>
    <w:rsid w:val="00C93769"/>
    <w:rsid w:val="00CA30C2"/>
    <w:rsid w:val="00CB0668"/>
    <w:rsid w:val="00CB123A"/>
    <w:rsid w:val="00CC054D"/>
    <w:rsid w:val="00CD0C7E"/>
    <w:rsid w:val="00CD1C79"/>
    <w:rsid w:val="00CD2E3C"/>
    <w:rsid w:val="00CD55ED"/>
    <w:rsid w:val="00CE1324"/>
    <w:rsid w:val="00CE4A93"/>
    <w:rsid w:val="00D031C0"/>
    <w:rsid w:val="00D119BA"/>
    <w:rsid w:val="00D212DA"/>
    <w:rsid w:val="00D2295C"/>
    <w:rsid w:val="00D243AA"/>
    <w:rsid w:val="00D423DD"/>
    <w:rsid w:val="00D50080"/>
    <w:rsid w:val="00D56354"/>
    <w:rsid w:val="00D75429"/>
    <w:rsid w:val="00D80327"/>
    <w:rsid w:val="00D91923"/>
    <w:rsid w:val="00D91C95"/>
    <w:rsid w:val="00D95D86"/>
    <w:rsid w:val="00DA163F"/>
    <w:rsid w:val="00DA204A"/>
    <w:rsid w:val="00DA2BA8"/>
    <w:rsid w:val="00DC4E9F"/>
    <w:rsid w:val="00DC5136"/>
    <w:rsid w:val="00DD0E6C"/>
    <w:rsid w:val="00DD7D15"/>
    <w:rsid w:val="00DE0A50"/>
    <w:rsid w:val="00DF30DE"/>
    <w:rsid w:val="00E01090"/>
    <w:rsid w:val="00E06A78"/>
    <w:rsid w:val="00E06D82"/>
    <w:rsid w:val="00E0704A"/>
    <w:rsid w:val="00E10777"/>
    <w:rsid w:val="00E238B1"/>
    <w:rsid w:val="00E26549"/>
    <w:rsid w:val="00E26BF5"/>
    <w:rsid w:val="00E31377"/>
    <w:rsid w:val="00E33CE0"/>
    <w:rsid w:val="00E41532"/>
    <w:rsid w:val="00E41AC2"/>
    <w:rsid w:val="00E53173"/>
    <w:rsid w:val="00E603C7"/>
    <w:rsid w:val="00E61150"/>
    <w:rsid w:val="00E700EA"/>
    <w:rsid w:val="00E8405A"/>
    <w:rsid w:val="00E9215D"/>
    <w:rsid w:val="00E931BB"/>
    <w:rsid w:val="00E96759"/>
    <w:rsid w:val="00EA327D"/>
    <w:rsid w:val="00EA7910"/>
    <w:rsid w:val="00EB1780"/>
    <w:rsid w:val="00EB6574"/>
    <w:rsid w:val="00EB75CD"/>
    <w:rsid w:val="00EF3530"/>
    <w:rsid w:val="00EF4A59"/>
    <w:rsid w:val="00F039B5"/>
    <w:rsid w:val="00F041FF"/>
    <w:rsid w:val="00F15F31"/>
    <w:rsid w:val="00F207CE"/>
    <w:rsid w:val="00F215F2"/>
    <w:rsid w:val="00F27122"/>
    <w:rsid w:val="00F3173B"/>
    <w:rsid w:val="00F35174"/>
    <w:rsid w:val="00F352B3"/>
    <w:rsid w:val="00F406DE"/>
    <w:rsid w:val="00F6179C"/>
    <w:rsid w:val="00F62F47"/>
    <w:rsid w:val="00F64399"/>
    <w:rsid w:val="00F64D26"/>
    <w:rsid w:val="00F74BFB"/>
    <w:rsid w:val="00F75452"/>
    <w:rsid w:val="00F81735"/>
    <w:rsid w:val="00F82CA2"/>
    <w:rsid w:val="00F831C7"/>
    <w:rsid w:val="00F83D48"/>
    <w:rsid w:val="00F84AE6"/>
    <w:rsid w:val="00F92C63"/>
    <w:rsid w:val="00F9386D"/>
    <w:rsid w:val="00F9782A"/>
    <w:rsid w:val="00FA2A14"/>
    <w:rsid w:val="00FA6691"/>
    <w:rsid w:val="00FB27E0"/>
    <w:rsid w:val="00FC0F03"/>
    <w:rsid w:val="00FC176F"/>
    <w:rsid w:val="00FC1B7B"/>
    <w:rsid w:val="00FD6A27"/>
    <w:rsid w:val="00FE7554"/>
    <w:rsid w:val="00FF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C9A53"/>
  <w15:chartTrackingRefBased/>
  <w15:docId w15:val="{B783F361-DDD2-458A-A5B8-4ECBED88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31"/>
    <w:pPr>
      <w:spacing w:after="0" w:line="240" w:lineRule="auto"/>
    </w:pPr>
    <w:rPr>
      <w:rFonts w:ascii="Times New Roman" w:eastAsia="Times New Roman" w:hAnsi="Times New Roman" w:cs="Times New Roman"/>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44A33"/>
  </w:style>
  <w:style w:type="table" w:styleId="TableGrid">
    <w:name w:val="Table Grid"/>
    <w:basedOn w:val="TableNormal"/>
    <w:uiPriority w:val="39"/>
    <w:rsid w:val="0086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74FA"/>
    <w:rPr>
      <w:sz w:val="20"/>
      <w:szCs w:val="20"/>
    </w:rPr>
  </w:style>
  <w:style w:type="character" w:customStyle="1" w:styleId="FootnoteTextChar">
    <w:name w:val="Footnote Text Char"/>
    <w:basedOn w:val="DefaultParagraphFont"/>
    <w:link w:val="FootnoteText"/>
    <w:uiPriority w:val="99"/>
    <w:semiHidden/>
    <w:rsid w:val="001274FA"/>
    <w:rPr>
      <w:rFonts w:ascii="Times New Roman" w:eastAsia="Times New Roman" w:hAnsi="Times New Roman" w:cs="Times New Roman"/>
      <w:sz w:val="20"/>
      <w:szCs w:val="20"/>
      <w:lang w:val="sq-AL" w:eastAsia="mk-MK"/>
    </w:rPr>
  </w:style>
  <w:style w:type="character" w:styleId="FootnoteReference">
    <w:name w:val="footnote reference"/>
    <w:basedOn w:val="DefaultParagraphFont"/>
    <w:uiPriority w:val="99"/>
    <w:semiHidden/>
    <w:unhideWhenUsed/>
    <w:rsid w:val="001274FA"/>
    <w:rPr>
      <w:vertAlign w:val="superscript"/>
    </w:rPr>
  </w:style>
  <w:style w:type="paragraph" w:styleId="BalloonText">
    <w:name w:val="Balloon Text"/>
    <w:basedOn w:val="Normal"/>
    <w:link w:val="BalloonTextChar"/>
    <w:uiPriority w:val="99"/>
    <w:semiHidden/>
    <w:unhideWhenUsed/>
    <w:rsid w:val="00DA2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4A"/>
    <w:rPr>
      <w:rFonts w:ascii="Segoe UI" w:eastAsia="Times New Roman" w:hAnsi="Segoe UI" w:cs="Segoe UI"/>
      <w:sz w:val="18"/>
      <w:szCs w:val="18"/>
      <w:lang w:val="sq-AL" w:eastAsia="mk-MK"/>
    </w:rPr>
  </w:style>
  <w:style w:type="paragraph" w:styleId="Revision">
    <w:name w:val="Revision"/>
    <w:hidden/>
    <w:uiPriority w:val="99"/>
    <w:semiHidden/>
    <w:rsid w:val="003870CD"/>
    <w:pPr>
      <w:spacing w:after="0" w:line="240" w:lineRule="auto"/>
    </w:pPr>
    <w:rPr>
      <w:rFonts w:ascii="Times New Roman" w:eastAsia="Times New Roman" w:hAnsi="Times New Roman" w:cs="Times New Roman"/>
      <w:sz w:val="24"/>
      <w:szCs w:val="24"/>
      <w:lang w:eastAsia="mk-MK"/>
    </w:rPr>
  </w:style>
  <w:style w:type="paragraph" w:styleId="NormalWeb">
    <w:name w:val="Normal (Web)"/>
    <w:basedOn w:val="Normal"/>
    <w:uiPriority w:val="99"/>
    <w:unhideWhenUsed/>
    <w:rsid w:val="005E3AD2"/>
    <w:pPr>
      <w:spacing w:before="100" w:beforeAutospacing="1" w:after="100" w:afterAutospacing="1"/>
    </w:pPr>
  </w:style>
  <w:style w:type="paragraph" w:styleId="ListParagraph">
    <w:name w:val="List Paragraph"/>
    <w:basedOn w:val="Normal"/>
    <w:uiPriority w:val="34"/>
    <w:qFormat/>
    <w:rsid w:val="007D3F72"/>
    <w:pPr>
      <w:ind w:left="720"/>
      <w:contextualSpacing/>
    </w:pPr>
  </w:style>
  <w:style w:type="character" w:styleId="Hyperlink">
    <w:name w:val="Hyperlink"/>
    <w:basedOn w:val="DefaultParagraphFont"/>
    <w:uiPriority w:val="99"/>
    <w:unhideWhenUsed/>
    <w:rsid w:val="00002AD6"/>
    <w:rPr>
      <w:color w:val="0563C1" w:themeColor="hyperlink"/>
      <w:u w:val="single"/>
    </w:rPr>
  </w:style>
  <w:style w:type="paragraph" w:styleId="Header">
    <w:name w:val="header"/>
    <w:basedOn w:val="Normal"/>
    <w:link w:val="HeaderChar"/>
    <w:uiPriority w:val="99"/>
    <w:unhideWhenUsed/>
    <w:rsid w:val="000A538F"/>
    <w:pPr>
      <w:tabs>
        <w:tab w:val="center" w:pos="4680"/>
        <w:tab w:val="right" w:pos="9360"/>
      </w:tabs>
    </w:pPr>
  </w:style>
  <w:style w:type="character" w:customStyle="1" w:styleId="HeaderChar">
    <w:name w:val="Header Char"/>
    <w:basedOn w:val="DefaultParagraphFont"/>
    <w:link w:val="Header"/>
    <w:uiPriority w:val="99"/>
    <w:rsid w:val="000A538F"/>
    <w:rPr>
      <w:rFonts w:ascii="Times New Roman" w:eastAsia="Times New Roman" w:hAnsi="Times New Roman" w:cs="Times New Roman"/>
      <w:sz w:val="24"/>
      <w:szCs w:val="24"/>
      <w:lang w:val="sq-AL" w:eastAsia="mk-MK"/>
    </w:rPr>
  </w:style>
  <w:style w:type="paragraph" w:styleId="Footer">
    <w:name w:val="footer"/>
    <w:basedOn w:val="Normal"/>
    <w:link w:val="FooterChar"/>
    <w:uiPriority w:val="99"/>
    <w:unhideWhenUsed/>
    <w:rsid w:val="000A538F"/>
    <w:pPr>
      <w:tabs>
        <w:tab w:val="center" w:pos="4680"/>
        <w:tab w:val="right" w:pos="9360"/>
      </w:tabs>
    </w:pPr>
  </w:style>
  <w:style w:type="character" w:customStyle="1" w:styleId="FooterChar">
    <w:name w:val="Footer Char"/>
    <w:basedOn w:val="DefaultParagraphFont"/>
    <w:link w:val="Footer"/>
    <w:uiPriority w:val="99"/>
    <w:rsid w:val="000A538F"/>
    <w:rPr>
      <w:rFonts w:ascii="Times New Roman" w:eastAsia="Times New Roman" w:hAnsi="Times New Roman" w:cs="Times New Roman"/>
      <w:sz w:val="24"/>
      <w:szCs w:val="24"/>
      <w:lang w:val="sq-AL" w:eastAsia="mk-MK"/>
    </w:rPr>
  </w:style>
  <w:style w:type="character" w:styleId="CommentReference">
    <w:name w:val="annotation reference"/>
    <w:basedOn w:val="DefaultParagraphFont"/>
    <w:uiPriority w:val="99"/>
    <w:semiHidden/>
    <w:unhideWhenUsed/>
    <w:rsid w:val="004F58B0"/>
    <w:rPr>
      <w:sz w:val="16"/>
      <w:szCs w:val="16"/>
    </w:rPr>
  </w:style>
  <w:style w:type="paragraph" w:styleId="CommentText">
    <w:name w:val="annotation text"/>
    <w:basedOn w:val="Normal"/>
    <w:link w:val="CommentTextChar"/>
    <w:uiPriority w:val="99"/>
    <w:semiHidden/>
    <w:unhideWhenUsed/>
    <w:rsid w:val="004F58B0"/>
    <w:rPr>
      <w:sz w:val="20"/>
      <w:szCs w:val="20"/>
    </w:rPr>
  </w:style>
  <w:style w:type="character" w:customStyle="1" w:styleId="CommentTextChar">
    <w:name w:val="Comment Text Char"/>
    <w:basedOn w:val="DefaultParagraphFont"/>
    <w:link w:val="CommentText"/>
    <w:uiPriority w:val="99"/>
    <w:semiHidden/>
    <w:rsid w:val="004F58B0"/>
    <w:rPr>
      <w:rFonts w:ascii="Times New Roman" w:eastAsia="Times New Roman" w:hAnsi="Times New Roman" w:cs="Times New Roman"/>
      <w:sz w:val="20"/>
      <w:szCs w:val="20"/>
      <w:lang w:val="sq-AL" w:eastAsia="mk-MK"/>
    </w:rPr>
  </w:style>
  <w:style w:type="paragraph" w:styleId="CommentSubject">
    <w:name w:val="annotation subject"/>
    <w:basedOn w:val="CommentText"/>
    <w:next w:val="CommentText"/>
    <w:link w:val="CommentSubjectChar"/>
    <w:uiPriority w:val="99"/>
    <w:semiHidden/>
    <w:unhideWhenUsed/>
    <w:rsid w:val="004F58B0"/>
    <w:rPr>
      <w:b/>
      <w:bCs/>
    </w:rPr>
  </w:style>
  <w:style w:type="character" w:customStyle="1" w:styleId="CommentSubjectChar">
    <w:name w:val="Comment Subject Char"/>
    <w:basedOn w:val="CommentTextChar"/>
    <w:link w:val="CommentSubject"/>
    <w:uiPriority w:val="99"/>
    <w:semiHidden/>
    <w:rsid w:val="004F58B0"/>
    <w:rPr>
      <w:rFonts w:ascii="Times New Roman" w:eastAsia="Times New Roman" w:hAnsi="Times New Roman" w:cs="Times New Roman"/>
      <w:b/>
      <w:bCs/>
      <w:sz w:val="20"/>
      <w:szCs w:val="20"/>
      <w:lang w:val="sq-AL"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13518">
      <w:bodyDiv w:val="1"/>
      <w:marLeft w:val="0"/>
      <w:marRight w:val="0"/>
      <w:marTop w:val="0"/>
      <w:marBottom w:val="0"/>
      <w:divBdr>
        <w:top w:val="none" w:sz="0" w:space="0" w:color="auto"/>
        <w:left w:val="none" w:sz="0" w:space="0" w:color="auto"/>
        <w:bottom w:val="none" w:sz="0" w:space="0" w:color="auto"/>
        <w:right w:val="none" w:sz="0" w:space="0" w:color="auto"/>
      </w:divBdr>
    </w:div>
    <w:div w:id="1902670955">
      <w:bodyDiv w:val="1"/>
      <w:marLeft w:val="0"/>
      <w:marRight w:val="0"/>
      <w:marTop w:val="0"/>
      <w:marBottom w:val="0"/>
      <w:divBdr>
        <w:top w:val="none" w:sz="0" w:space="0" w:color="auto"/>
        <w:left w:val="none" w:sz="0" w:space="0" w:color="auto"/>
        <w:bottom w:val="none" w:sz="0" w:space="0" w:color="auto"/>
        <w:right w:val="none" w:sz="0" w:space="0" w:color="auto"/>
      </w:divBdr>
      <w:divsChild>
        <w:div w:id="809173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l.inst@sobranie.m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5DD92-805A-4AD9-9D4F-5AD7AFC8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1140</Words>
  <Characters>6499</Characters>
  <Application>Microsoft Office Word</Application>
  <DocSecurity>0</DocSecurity>
  <Lines>54</Lines>
  <Paragraphs>15</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Lazovska</dc:creator>
  <cp:keywords/>
  <dc:description/>
  <cp:lastModifiedBy>Dejan Dimitrievski</cp:lastModifiedBy>
  <cp:revision>45</cp:revision>
  <cp:lastPrinted>2015-10-29T14:25:00Z</cp:lastPrinted>
  <dcterms:created xsi:type="dcterms:W3CDTF">2018-01-30T08:19:00Z</dcterms:created>
  <dcterms:modified xsi:type="dcterms:W3CDTF">2022-09-13T13:57:00Z</dcterms:modified>
</cp:coreProperties>
</file>